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EE8D7" w14:textId="59939F80" w:rsidR="005538B8" w:rsidRPr="00B20F7A" w:rsidRDefault="005538B8" w:rsidP="00B20F7A">
      <w:pPr>
        <w:spacing w:before="60" w:after="100" w:afterAutospacing="1" w:line="240" w:lineRule="auto"/>
        <w:jc w:val="center"/>
        <w:rPr>
          <w:rFonts w:ascii="Times New Roman" w:hAnsi="Times New Roman" w:cs="Times New Roman"/>
          <w:b/>
          <w:sz w:val="24"/>
          <w:szCs w:val="24"/>
          <w:lang w:val="en"/>
        </w:rPr>
      </w:pPr>
      <w:bookmarkStart w:id="0" w:name="_GoBack"/>
      <w:bookmarkEnd w:id="0"/>
      <w:r w:rsidRPr="00B20F7A">
        <w:rPr>
          <w:rFonts w:ascii="Times New Roman" w:hAnsi="Times New Roman" w:cs="Times New Roman"/>
          <w:b/>
          <w:sz w:val="24"/>
          <w:szCs w:val="24"/>
          <w:lang w:val="en"/>
        </w:rPr>
        <w:t xml:space="preserve">Evaluation of the Impact of the Institute of Medicine Report </w:t>
      </w:r>
      <w:r w:rsidRPr="00DD4C7D">
        <w:rPr>
          <w:rFonts w:ascii="Times New Roman" w:hAnsi="Times New Roman" w:cs="Times New Roman"/>
          <w:b/>
          <w:i/>
          <w:sz w:val="24"/>
          <w:szCs w:val="24"/>
          <w:lang w:val="en"/>
        </w:rPr>
        <w:t>The Future of Nursing: Leading Change, Advancing Health</w:t>
      </w:r>
      <w:r w:rsidRPr="00B20F7A">
        <w:rPr>
          <w:rFonts w:ascii="Times New Roman" w:hAnsi="Times New Roman" w:cs="Times New Roman"/>
          <w:b/>
          <w:sz w:val="24"/>
          <w:szCs w:val="24"/>
          <w:lang w:val="en"/>
        </w:rPr>
        <w:t>:</w:t>
      </w:r>
      <w:r w:rsidR="00B20F7A" w:rsidRPr="00B20F7A">
        <w:rPr>
          <w:rFonts w:ascii="Times New Roman" w:hAnsi="Times New Roman" w:cs="Times New Roman"/>
          <w:b/>
          <w:sz w:val="24"/>
          <w:szCs w:val="24"/>
          <w:lang w:val="en"/>
        </w:rPr>
        <w:t xml:space="preserve"> The North Carolina Story</w:t>
      </w:r>
    </w:p>
    <w:p w14:paraId="70F9B9B1" w14:textId="52817FF7" w:rsidR="0062205D" w:rsidRPr="0041739D" w:rsidRDefault="0062205D" w:rsidP="005538B8">
      <w:pPr>
        <w:spacing w:before="60" w:after="100" w:afterAutospacing="1" w:line="240" w:lineRule="auto"/>
        <w:rPr>
          <w:rFonts w:ascii="Times New Roman" w:hAnsi="Times New Roman" w:cs="Times New Roman"/>
          <w:sz w:val="24"/>
          <w:szCs w:val="24"/>
          <w:lang w:val="en"/>
        </w:rPr>
      </w:pPr>
      <w:r w:rsidRPr="0041739D">
        <w:rPr>
          <w:rFonts w:ascii="Times New Roman" w:hAnsi="Times New Roman" w:cs="Times New Roman"/>
          <w:sz w:val="24"/>
          <w:szCs w:val="24"/>
          <w:lang w:val="en"/>
        </w:rPr>
        <w:t xml:space="preserve">For North Carolina, the impact of the Institute of Medicine (IOM) Report, </w:t>
      </w:r>
      <w:r w:rsidRPr="0041739D">
        <w:rPr>
          <w:rFonts w:ascii="Times New Roman" w:hAnsi="Times New Roman" w:cs="Times New Roman"/>
          <w:i/>
          <w:sz w:val="24"/>
          <w:szCs w:val="24"/>
          <w:lang w:val="en"/>
        </w:rPr>
        <w:t>The Future of Nursing; Leading Change, Advancing Health</w:t>
      </w:r>
      <w:r w:rsidR="00920A41" w:rsidRPr="0041739D">
        <w:rPr>
          <w:rFonts w:ascii="Times New Roman" w:hAnsi="Times New Roman" w:cs="Times New Roman"/>
          <w:i/>
          <w:sz w:val="24"/>
          <w:szCs w:val="24"/>
          <w:lang w:val="en"/>
        </w:rPr>
        <w:t>,</w:t>
      </w:r>
      <w:r w:rsidRPr="0041739D">
        <w:rPr>
          <w:rFonts w:ascii="Times New Roman" w:hAnsi="Times New Roman" w:cs="Times New Roman"/>
          <w:i/>
          <w:sz w:val="24"/>
          <w:szCs w:val="24"/>
          <w:lang w:val="en"/>
        </w:rPr>
        <w:t xml:space="preserve"> </w:t>
      </w:r>
      <w:r w:rsidR="00920A41" w:rsidRPr="0041739D">
        <w:rPr>
          <w:rFonts w:ascii="Times New Roman" w:hAnsi="Times New Roman" w:cs="Times New Roman"/>
          <w:sz w:val="24"/>
          <w:szCs w:val="24"/>
          <w:lang w:val="en"/>
        </w:rPr>
        <w:t xml:space="preserve">has been transformational. </w:t>
      </w:r>
      <w:r w:rsidRPr="0041739D">
        <w:rPr>
          <w:rFonts w:ascii="Times New Roman" w:hAnsi="Times New Roman" w:cs="Times New Roman"/>
          <w:sz w:val="24"/>
          <w:szCs w:val="24"/>
          <w:lang w:val="en"/>
        </w:rPr>
        <w:t>On behalf of North Carolina’s Future of Nursing</w:t>
      </w:r>
      <w:r w:rsidR="00A74E15" w:rsidRPr="0041739D">
        <w:rPr>
          <w:rFonts w:ascii="Times New Roman" w:hAnsi="Times New Roman" w:cs="Times New Roman"/>
          <w:sz w:val="24"/>
          <w:szCs w:val="24"/>
          <w:lang w:val="en"/>
        </w:rPr>
        <w:t xml:space="preserve"> (FON)</w:t>
      </w:r>
      <w:r w:rsidRPr="0041739D">
        <w:rPr>
          <w:rFonts w:ascii="Times New Roman" w:hAnsi="Times New Roman" w:cs="Times New Roman"/>
          <w:sz w:val="24"/>
          <w:szCs w:val="24"/>
          <w:lang w:val="en"/>
        </w:rPr>
        <w:t xml:space="preserve"> Action Coalition, we are pleased to submit a summary activity and impact</w:t>
      </w:r>
      <w:r w:rsidR="00A74E15" w:rsidRPr="0041739D">
        <w:rPr>
          <w:rFonts w:ascii="Times New Roman" w:hAnsi="Times New Roman" w:cs="Times New Roman"/>
          <w:sz w:val="24"/>
          <w:szCs w:val="24"/>
          <w:lang w:val="en"/>
        </w:rPr>
        <w:t xml:space="preserve"> report to the Institute of Medicine.</w:t>
      </w:r>
      <w:r w:rsidRPr="0041739D">
        <w:rPr>
          <w:rFonts w:ascii="Times New Roman" w:hAnsi="Times New Roman" w:cs="Times New Roman"/>
          <w:sz w:val="24"/>
          <w:szCs w:val="24"/>
          <w:lang w:val="en"/>
        </w:rPr>
        <w:t xml:space="preserve"> </w:t>
      </w:r>
    </w:p>
    <w:p w14:paraId="0960510D" w14:textId="77777777" w:rsidR="00F26D69" w:rsidRDefault="00137776" w:rsidP="00F26D69">
      <w:pPr>
        <w:spacing w:before="60" w:after="0" w:line="240" w:lineRule="auto"/>
        <w:rPr>
          <w:rFonts w:ascii="Times New Roman" w:hAnsi="Times New Roman" w:cs="Times New Roman"/>
          <w:b/>
          <w:sz w:val="24"/>
          <w:szCs w:val="24"/>
          <w:u w:val="single"/>
          <w:lang w:val="en"/>
        </w:rPr>
      </w:pPr>
      <w:r w:rsidRPr="0041739D">
        <w:rPr>
          <w:rFonts w:ascii="Times New Roman" w:hAnsi="Times New Roman" w:cs="Times New Roman"/>
          <w:b/>
          <w:sz w:val="24"/>
          <w:szCs w:val="24"/>
          <w:u w:val="single"/>
          <w:lang w:val="en"/>
        </w:rPr>
        <w:t>Organization, Communication &amp; Engagement</w:t>
      </w:r>
    </w:p>
    <w:p w14:paraId="3E83F959" w14:textId="4F120DCE" w:rsidR="00FC0503" w:rsidRPr="0041739D" w:rsidRDefault="00FC0503" w:rsidP="007C22A8">
      <w:pPr>
        <w:spacing w:before="60" w:after="100" w:afterAutospacing="1" w:line="240" w:lineRule="auto"/>
        <w:ind w:left="2160"/>
        <w:rPr>
          <w:rFonts w:ascii="Times New Roman" w:hAnsi="Times New Roman" w:cs="Times New Roman"/>
          <w:sz w:val="24"/>
          <w:szCs w:val="24"/>
          <w:lang w:val="en"/>
        </w:rPr>
      </w:pPr>
      <w:r w:rsidRPr="0041739D">
        <w:rPr>
          <w:rFonts w:ascii="Times New Roman" w:hAnsi="Times New Roman" w:cs="Times New Roman"/>
          <w:sz w:val="24"/>
          <w:szCs w:val="24"/>
          <w:lang w:val="en"/>
        </w:rPr>
        <w:t>The initial activity of the N</w:t>
      </w:r>
      <w:r w:rsidR="00920A41" w:rsidRPr="0041739D">
        <w:rPr>
          <w:rFonts w:ascii="Times New Roman" w:hAnsi="Times New Roman" w:cs="Times New Roman"/>
          <w:sz w:val="24"/>
          <w:szCs w:val="24"/>
          <w:lang w:val="en"/>
        </w:rPr>
        <w:t xml:space="preserve">orth </w:t>
      </w:r>
      <w:r w:rsidRPr="0041739D">
        <w:rPr>
          <w:rFonts w:ascii="Times New Roman" w:hAnsi="Times New Roman" w:cs="Times New Roman"/>
          <w:sz w:val="24"/>
          <w:szCs w:val="24"/>
          <w:lang w:val="en"/>
        </w:rPr>
        <w:t>C</w:t>
      </w:r>
      <w:r w:rsidR="00920A41" w:rsidRPr="0041739D">
        <w:rPr>
          <w:rFonts w:ascii="Times New Roman" w:hAnsi="Times New Roman" w:cs="Times New Roman"/>
          <w:sz w:val="24"/>
          <w:szCs w:val="24"/>
          <w:lang w:val="en"/>
        </w:rPr>
        <w:t>arolina</w:t>
      </w:r>
      <w:r w:rsidR="00A74E15" w:rsidRPr="0041739D">
        <w:rPr>
          <w:rFonts w:ascii="Times New Roman" w:hAnsi="Times New Roman" w:cs="Times New Roman"/>
          <w:sz w:val="24"/>
          <w:szCs w:val="24"/>
          <w:lang w:val="en"/>
        </w:rPr>
        <w:t xml:space="preserve"> FON</w:t>
      </w:r>
      <w:r w:rsidRPr="0041739D">
        <w:rPr>
          <w:rFonts w:ascii="Times New Roman" w:hAnsi="Times New Roman" w:cs="Times New Roman"/>
          <w:sz w:val="24"/>
          <w:szCs w:val="24"/>
          <w:lang w:val="en"/>
        </w:rPr>
        <w:t xml:space="preserve"> Action Coalition was </w:t>
      </w:r>
      <w:r w:rsidR="00CE5FBC" w:rsidRPr="0041739D">
        <w:rPr>
          <w:rFonts w:ascii="Times New Roman" w:hAnsi="Times New Roman" w:cs="Times New Roman"/>
          <w:sz w:val="24"/>
          <w:szCs w:val="24"/>
          <w:lang w:val="en"/>
        </w:rPr>
        <w:t xml:space="preserve">convening a Summit (April 11, 2011) </w:t>
      </w:r>
      <w:r w:rsidRPr="0041739D">
        <w:rPr>
          <w:rFonts w:ascii="Times New Roman" w:hAnsi="Times New Roman" w:cs="Times New Roman"/>
          <w:sz w:val="24"/>
          <w:szCs w:val="24"/>
          <w:lang w:val="en"/>
        </w:rPr>
        <w:t>of thought leaders to not only prioritize the Institute of Medicine Recommendations but also to inform</w:t>
      </w:r>
      <w:r w:rsidR="004B6B10" w:rsidRPr="0041739D">
        <w:rPr>
          <w:rFonts w:ascii="Times New Roman" w:hAnsi="Times New Roman" w:cs="Times New Roman"/>
          <w:sz w:val="24"/>
          <w:szCs w:val="24"/>
          <w:lang w:val="en"/>
        </w:rPr>
        <w:t xml:space="preserve"> </w:t>
      </w:r>
      <w:r w:rsidRPr="0041739D">
        <w:rPr>
          <w:rFonts w:ascii="Times New Roman" w:hAnsi="Times New Roman" w:cs="Times New Roman"/>
          <w:sz w:val="24"/>
          <w:szCs w:val="24"/>
          <w:lang w:val="en"/>
        </w:rPr>
        <w:t xml:space="preserve"> influential N</w:t>
      </w:r>
      <w:r w:rsidR="00920A41" w:rsidRPr="0041739D">
        <w:rPr>
          <w:rFonts w:ascii="Times New Roman" w:hAnsi="Times New Roman" w:cs="Times New Roman"/>
          <w:sz w:val="24"/>
          <w:szCs w:val="24"/>
          <w:lang w:val="en"/>
        </w:rPr>
        <w:t xml:space="preserve">orth </w:t>
      </w:r>
      <w:r w:rsidRPr="0041739D">
        <w:rPr>
          <w:rFonts w:ascii="Times New Roman" w:hAnsi="Times New Roman" w:cs="Times New Roman"/>
          <w:sz w:val="24"/>
          <w:szCs w:val="24"/>
          <w:lang w:val="en"/>
        </w:rPr>
        <w:t>C</w:t>
      </w:r>
      <w:r w:rsidR="00920A41" w:rsidRPr="0041739D">
        <w:rPr>
          <w:rFonts w:ascii="Times New Roman" w:hAnsi="Times New Roman" w:cs="Times New Roman"/>
          <w:sz w:val="24"/>
          <w:szCs w:val="24"/>
          <w:lang w:val="en"/>
        </w:rPr>
        <w:t>arolina</w:t>
      </w:r>
      <w:r w:rsidRPr="0041739D">
        <w:rPr>
          <w:rFonts w:ascii="Times New Roman" w:hAnsi="Times New Roman" w:cs="Times New Roman"/>
          <w:sz w:val="24"/>
          <w:szCs w:val="24"/>
          <w:lang w:val="en"/>
        </w:rPr>
        <w:t xml:space="preserve"> leaders of the IOM Report’s </w:t>
      </w:r>
      <w:r w:rsidR="0062205D" w:rsidRPr="0041739D">
        <w:rPr>
          <w:rFonts w:ascii="Times New Roman" w:hAnsi="Times New Roman" w:cs="Times New Roman"/>
          <w:sz w:val="24"/>
          <w:szCs w:val="24"/>
          <w:lang w:val="en"/>
        </w:rPr>
        <w:t>r</w:t>
      </w:r>
      <w:r w:rsidRPr="0041739D">
        <w:rPr>
          <w:rFonts w:ascii="Times New Roman" w:hAnsi="Times New Roman" w:cs="Times New Roman"/>
          <w:sz w:val="24"/>
          <w:szCs w:val="24"/>
          <w:lang w:val="en"/>
        </w:rPr>
        <w:t>ecommendations</w:t>
      </w:r>
      <w:r w:rsidR="00EB17D3" w:rsidRPr="0041739D">
        <w:rPr>
          <w:rFonts w:ascii="Times New Roman" w:hAnsi="Times New Roman" w:cs="Times New Roman"/>
          <w:sz w:val="24"/>
          <w:szCs w:val="24"/>
          <w:lang w:val="en"/>
        </w:rPr>
        <w:t xml:space="preserve"> and the state of nursing in N</w:t>
      </w:r>
      <w:r w:rsidR="00920A41" w:rsidRPr="0041739D">
        <w:rPr>
          <w:rFonts w:ascii="Times New Roman" w:hAnsi="Times New Roman" w:cs="Times New Roman"/>
          <w:sz w:val="24"/>
          <w:szCs w:val="24"/>
          <w:lang w:val="en"/>
        </w:rPr>
        <w:t xml:space="preserve">orth </w:t>
      </w:r>
      <w:r w:rsidR="00EB17D3" w:rsidRPr="0041739D">
        <w:rPr>
          <w:rFonts w:ascii="Times New Roman" w:hAnsi="Times New Roman" w:cs="Times New Roman"/>
          <w:sz w:val="24"/>
          <w:szCs w:val="24"/>
          <w:lang w:val="en"/>
        </w:rPr>
        <w:t>C</w:t>
      </w:r>
      <w:r w:rsidR="00920A41" w:rsidRPr="0041739D">
        <w:rPr>
          <w:rFonts w:ascii="Times New Roman" w:hAnsi="Times New Roman" w:cs="Times New Roman"/>
          <w:sz w:val="24"/>
          <w:szCs w:val="24"/>
          <w:lang w:val="en"/>
        </w:rPr>
        <w:t>arolina</w:t>
      </w:r>
      <w:r w:rsidRPr="0041739D">
        <w:rPr>
          <w:rFonts w:ascii="Times New Roman" w:hAnsi="Times New Roman" w:cs="Times New Roman"/>
          <w:sz w:val="24"/>
          <w:szCs w:val="24"/>
          <w:lang w:val="en"/>
        </w:rPr>
        <w:t xml:space="preserve">. </w:t>
      </w:r>
      <w:r w:rsidR="00CE5FBC" w:rsidRPr="0041739D">
        <w:rPr>
          <w:rFonts w:ascii="Times New Roman" w:hAnsi="Times New Roman" w:cs="Times New Roman"/>
          <w:sz w:val="24"/>
          <w:szCs w:val="24"/>
          <w:lang w:val="en"/>
        </w:rPr>
        <w:t>Attendees included former Governor James Hunt, state legislators, physicians, policy a</w:t>
      </w:r>
      <w:r w:rsidR="00EB17D3" w:rsidRPr="0041739D">
        <w:rPr>
          <w:rFonts w:ascii="Times New Roman" w:hAnsi="Times New Roman" w:cs="Times New Roman"/>
          <w:sz w:val="24"/>
          <w:szCs w:val="24"/>
          <w:lang w:val="en"/>
        </w:rPr>
        <w:t>dvocates</w:t>
      </w:r>
      <w:r w:rsidR="00CE5FBC" w:rsidRPr="0041739D">
        <w:rPr>
          <w:rFonts w:ascii="Times New Roman" w:hAnsi="Times New Roman" w:cs="Times New Roman"/>
          <w:sz w:val="24"/>
          <w:szCs w:val="24"/>
          <w:lang w:val="en"/>
        </w:rPr>
        <w:t xml:space="preserve">, business leaders and nurse leaders from across the state. </w:t>
      </w:r>
      <w:r w:rsidR="00C24537" w:rsidRPr="0041739D">
        <w:rPr>
          <w:rFonts w:ascii="Times New Roman" w:hAnsi="Times New Roman" w:cs="Times New Roman"/>
          <w:sz w:val="24"/>
          <w:szCs w:val="24"/>
          <w:lang w:val="en"/>
        </w:rPr>
        <w:t xml:space="preserve"> </w:t>
      </w:r>
    </w:p>
    <w:p w14:paraId="2665926F" w14:textId="396278FC" w:rsidR="00FC0503" w:rsidRPr="0041739D" w:rsidRDefault="00FC0503" w:rsidP="005538B8">
      <w:pPr>
        <w:spacing w:before="60" w:after="100" w:afterAutospacing="1" w:line="240" w:lineRule="auto"/>
        <w:rPr>
          <w:rFonts w:ascii="Times New Roman" w:hAnsi="Times New Roman" w:cs="Times New Roman"/>
          <w:sz w:val="24"/>
          <w:szCs w:val="24"/>
          <w:lang w:val="en"/>
        </w:rPr>
      </w:pPr>
      <w:r w:rsidRPr="0041739D">
        <w:rPr>
          <w:rFonts w:ascii="Times New Roman" w:hAnsi="Times New Roman" w:cs="Times New Roman"/>
          <w:sz w:val="24"/>
          <w:szCs w:val="24"/>
          <w:lang w:val="en"/>
        </w:rPr>
        <w:t xml:space="preserve">The next accomplishment was the publication of the </w:t>
      </w:r>
      <w:r w:rsidRPr="0041739D">
        <w:rPr>
          <w:rFonts w:ascii="Times New Roman" w:hAnsi="Times New Roman" w:cs="Times New Roman"/>
          <w:i/>
          <w:sz w:val="24"/>
          <w:szCs w:val="24"/>
          <w:lang w:val="en"/>
        </w:rPr>
        <w:t>NC Medical Journal</w:t>
      </w:r>
      <w:r w:rsidRPr="0041739D">
        <w:rPr>
          <w:rFonts w:ascii="Times New Roman" w:hAnsi="Times New Roman" w:cs="Times New Roman"/>
          <w:sz w:val="24"/>
          <w:szCs w:val="24"/>
          <w:lang w:val="en"/>
        </w:rPr>
        <w:t xml:space="preserve"> devoted to the </w:t>
      </w:r>
      <w:r w:rsidR="00CE5FBC" w:rsidRPr="0041739D">
        <w:rPr>
          <w:rFonts w:ascii="Times New Roman" w:hAnsi="Times New Roman" w:cs="Times New Roman"/>
          <w:sz w:val="24"/>
          <w:szCs w:val="24"/>
          <w:lang w:val="en"/>
        </w:rPr>
        <w:t>Future of Nursing in NC (July/August 2011) It described the issues and state of nursing in N</w:t>
      </w:r>
      <w:r w:rsidR="00920A41" w:rsidRPr="0041739D">
        <w:rPr>
          <w:rFonts w:ascii="Times New Roman" w:hAnsi="Times New Roman" w:cs="Times New Roman"/>
          <w:sz w:val="24"/>
          <w:szCs w:val="24"/>
          <w:lang w:val="en"/>
        </w:rPr>
        <w:t xml:space="preserve">orth </w:t>
      </w:r>
      <w:r w:rsidR="00CE5FBC" w:rsidRPr="0041739D">
        <w:rPr>
          <w:rFonts w:ascii="Times New Roman" w:hAnsi="Times New Roman" w:cs="Times New Roman"/>
          <w:sz w:val="24"/>
          <w:szCs w:val="24"/>
          <w:lang w:val="en"/>
        </w:rPr>
        <w:t>C</w:t>
      </w:r>
      <w:r w:rsidR="00920A41" w:rsidRPr="0041739D">
        <w:rPr>
          <w:rFonts w:ascii="Times New Roman" w:hAnsi="Times New Roman" w:cs="Times New Roman"/>
          <w:sz w:val="24"/>
          <w:szCs w:val="24"/>
          <w:lang w:val="en"/>
        </w:rPr>
        <w:t>arolina</w:t>
      </w:r>
      <w:r w:rsidR="00CE5FBC" w:rsidRPr="0041739D">
        <w:rPr>
          <w:rFonts w:ascii="Times New Roman" w:hAnsi="Times New Roman" w:cs="Times New Roman"/>
          <w:sz w:val="24"/>
          <w:szCs w:val="24"/>
          <w:lang w:val="en"/>
        </w:rPr>
        <w:t xml:space="preserve"> as well as the results of the  Summit</w:t>
      </w:r>
      <w:r w:rsidR="001775E2" w:rsidRPr="0041739D">
        <w:rPr>
          <w:rFonts w:ascii="Times New Roman" w:hAnsi="Times New Roman" w:cs="Times New Roman"/>
          <w:sz w:val="24"/>
          <w:szCs w:val="24"/>
          <w:lang w:val="en"/>
        </w:rPr>
        <w:t xml:space="preserve"> and direction</w:t>
      </w:r>
      <w:r w:rsidR="00EB17D3" w:rsidRPr="0041739D">
        <w:rPr>
          <w:rFonts w:ascii="Times New Roman" w:hAnsi="Times New Roman" w:cs="Times New Roman"/>
          <w:sz w:val="24"/>
          <w:szCs w:val="24"/>
          <w:lang w:val="en"/>
        </w:rPr>
        <w:t xml:space="preserve"> N</w:t>
      </w:r>
      <w:r w:rsidR="00920A41" w:rsidRPr="0041739D">
        <w:rPr>
          <w:rFonts w:ascii="Times New Roman" w:hAnsi="Times New Roman" w:cs="Times New Roman"/>
          <w:sz w:val="24"/>
          <w:szCs w:val="24"/>
          <w:lang w:val="en"/>
        </w:rPr>
        <w:t xml:space="preserve">orth </w:t>
      </w:r>
      <w:r w:rsidR="00EB17D3" w:rsidRPr="0041739D">
        <w:rPr>
          <w:rFonts w:ascii="Times New Roman" w:hAnsi="Times New Roman" w:cs="Times New Roman"/>
          <w:sz w:val="24"/>
          <w:szCs w:val="24"/>
          <w:lang w:val="en"/>
        </w:rPr>
        <w:t>C</w:t>
      </w:r>
      <w:r w:rsidR="00920A41" w:rsidRPr="0041739D">
        <w:rPr>
          <w:rFonts w:ascii="Times New Roman" w:hAnsi="Times New Roman" w:cs="Times New Roman"/>
          <w:sz w:val="24"/>
          <w:szCs w:val="24"/>
          <w:lang w:val="en"/>
        </w:rPr>
        <w:t>arolina</w:t>
      </w:r>
      <w:r w:rsidR="00EB17D3" w:rsidRPr="0041739D">
        <w:rPr>
          <w:rFonts w:ascii="Times New Roman" w:hAnsi="Times New Roman" w:cs="Times New Roman"/>
          <w:sz w:val="24"/>
          <w:szCs w:val="24"/>
          <w:lang w:val="en"/>
        </w:rPr>
        <w:t xml:space="preserve"> needed to go to </w:t>
      </w:r>
      <w:r w:rsidR="0062205D" w:rsidRPr="0041739D">
        <w:rPr>
          <w:rFonts w:ascii="Times New Roman" w:hAnsi="Times New Roman" w:cs="Times New Roman"/>
          <w:sz w:val="24"/>
          <w:szCs w:val="24"/>
          <w:lang w:val="en"/>
        </w:rPr>
        <w:t>advance</w:t>
      </w:r>
      <w:r w:rsidR="00920A41" w:rsidRPr="0041739D">
        <w:rPr>
          <w:rFonts w:ascii="Times New Roman" w:hAnsi="Times New Roman" w:cs="Times New Roman"/>
          <w:sz w:val="24"/>
          <w:szCs w:val="24"/>
          <w:lang w:val="en"/>
        </w:rPr>
        <w:t xml:space="preserve"> health in </w:t>
      </w:r>
      <w:r w:rsidR="008F5CE2" w:rsidRPr="0041739D">
        <w:rPr>
          <w:rFonts w:ascii="Times New Roman" w:hAnsi="Times New Roman" w:cs="Times New Roman"/>
          <w:sz w:val="24"/>
          <w:szCs w:val="24"/>
          <w:lang w:val="en"/>
        </w:rPr>
        <w:t>N</w:t>
      </w:r>
      <w:r w:rsidR="00A74E15" w:rsidRPr="0041739D">
        <w:rPr>
          <w:rFonts w:ascii="Times New Roman" w:hAnsi="Times New Roman" w:cs="Times New Roman"/>
          <w:sz w:val="24"/>
          <w:szCs w:val="24"/>
          <w:lang w:val="en"/>
        </w:rPr>
        <w:t xml:space="preserve">orth </w:t>
      </w:r>
      <w:r w:rsidR="008F5CE2" w:rsidRPr="0041739D">
        <w:rPr>
          <w:rFonts w:ascii="Times New Roman" w:hAnsi="Times New Roman" w:cs="Times New Roman"/>
          <w:sz w:val="24"/>
          <w:szCs w:val="24"/>
          <w:lang w:val="en"/>
        </w:rPr>
        <w:t>C</w:t>
      </w:r>
      <w:r w:rsidR="00A74E15" w:rsidRPr="0041739D">
        <w:rPr>
          <w:rFonts w:ascii="Times New Roman" w:hAnsi="Times New Roman" w:cs="Times New Roman"/>
          <w:sz w:val="24"/>
          <w:szCs w:val="24"/>
          <w:lang w:val="en"/>
        </w:rPr>
        <w:t>arolina</w:t>
      </w:r>
      <w:r w:rsidR="008F5CE2" w:rsidRPr="0041739D">
        <w:rPr>
          <w:rFonts w:ascii="Times New Roman" w:hAnsi="Times New Roman" w:cs="Times New Roman"/>
          <w:sz w:val="24"/>
          <w:szCs w:val="24"/>
          <w:lang w:val="en"/>
        </w:rPr>
        <w:t xml:space="preserve"> </w:t>
      </w:r>
      <w:r w:rsidR="0062205D" w:rsidRPr="0041739D">
        <w:rPr>
          <w:rFonts w:ascii="Times New Roman" w:hAnsi="Times New Roman" w:cs="Times New Roman"/>
          <w:sz w:val="24"/>
          <w:szCs w:val="24"/>
          <w:lang w:val="en"/>
        </w:rPr>
        <w:t xml:space="preserve">communities. </w:t>
      </w:r>
      <w:r w:rsidR="00CE5FBC" w:rsidRPr="0041739D">
        <w:rPr>
          <w:rFonts w:ascii="Times New Roman" w:hAnsi="Times New Roman" w:cs="Times New Roman"/>
          <w:sz w:val="24"/>
          <w:szCs w:val="24"/>
          <w:lang w:val="en"/>
        </w:rPr>
        <w:t>Th</w:t>
      </w:r>
      <w:r w:rsidR="00EB17D3" w:rsidRPr="0041739D">
        <w:rPr>
          <w:rFonts w:ascii="Times New Roman" w:hAnsi="Times New Roman" w:cs="Times New Roman"/>
          <w:sz w:val="24"/>
          <w:szCs w:val="24"/>
          <w:lang w:val="en"/>
        </w:rPr>
        <w:t xml:space="preserve">e </w:t>
      </w:r>
      <w:r w:rsidR="00CE5FBC" w:rsidRPr="0041739D">
        <w:rPr>
          <w:rFonts w:ascii="Times New Roman" w:hAnsi="Times New Roman" w:cs="Times New Roman"/>
          <w:sz w:val="24"/>
          <w:szCs w:val="24"/>
          <w:lang w:val="en"/>
        </w:rPr>
        <w:t>state of nursing education,</w:t>
      </w:r>
      <w:r w:rsidR="00EB17D3" w:rsidRPr="0041739D">
        <w:rPr>
          <w:rFonts w:ascii="Times New Roman" w:hAnsi="Times New Roman" w:cs="Times New Roman"/>
          <w:sz w:val="24"/>
          <w:szCs w:val="24"/>
          <w:lang w:val="en"/>
        </w:rPr>
        <w:t xml:space="preserve"> legal barriers to practice</w:t>
      </w:r>
      <w:r w:rsidR="0062205D" w:rsidRPr="0041739D">
        <w:rPr>
          <w:rFonts w:ascii="Times New Roman" w:hAnsi="Times New Roman" w:cs="Times New Roman"/>
          <w:sz w:val="24"/>
          <w:szCs w:val="24"/>
          <w:lang w:val="en"/>
        </w:rPr>
        <w:t xml:space="preserve"> and</w:t>
      </w:r>
      <w:r w:rsidR="00EB17D3" w:rsidRPr="0041739D">
        <w:rPr>
          <w:rFonts w:ascii="Times New Roman" w:hAnsi="Times New Roman" w:cs="Times New Roman"/>
          <w:sz w:val="24"/>
          <w:szCs w:val="24"/>
          <w:lang w:val="en"/>
        </w:rPr>
        <w:t xml:space="preserve"> workforce conce</w:t>
      </w:r>
      <w:r w:rsidR="00C24537" w:rsidRPr="0041739D">
        <w:rPr>
          <w:rFonts w:ascii="Times New Roman" w:hAnsi="Times New Roman" w:cs="Times New Roman"/>
          <w:sz w:val="24"/>
          <w:szCs w:val="24"/>
          <w:lang w:val="en"/>
        </w:rPr>
        <w:t>rns were included in the topics</w:t>
      </w:r>
      <w:r w:rsidR="008F6084" w:rsidRPr="0041739D">
        <w:rPr>
          <w:rFonts w:ascii="Times New Roman" w:hAnsi="Times New Roman" w:cs="Times New Roman"/>
          <w:sz w:val="24"/>
          <w:szCs w:val="24"/>
          <w:lang w:val="en"/>
        </w:rPr>
        <w:t xml:space="preserve"> (Retrieved 7-13-15 from: http://classic.ncmedicaljournal.com/archives/?future-of-nursing-in-north-carolina</w:t>
      </w:r>
      <w:r w:rsidR="00F8728F" w:rsidRPr="0041739D">
        <w:rPr>
          <w:rFonts w:ascii="Times New Roman" w:hAnsi="Times New Roman" w:cs="Times New Roman"/>
          <w:sz w:val="24"/>
          <w:szCs w:val="24"/>
          <w:lang w:val="en"/>
        </w:rPr>
        <w:t>)</w:t>
      </w:r>
    </w:p>
    <w:p w14:paraId="0073BE02" w14:textId="01A45F35" w:rsidR="00F8728F" w:rsidRPr="0041739D" w:rsidRDefault="00F8728F" w:rsidP="005538B8">
      <w:pPr>
        <w:spacing w:before="60" w:after="100" w:afterAutospacing="1" w:line="240" w:lineRule="auto"/>
        <w:rPr>
          <w:rFonts w:ascii="Times New Roman" w:hAnsi="Times New Roman" w:cs="Times New Roman"/>
          <w:sz w:val="24"/>
          <w:szCs w:val="24"/>
          <w:lang w:val="en"/>
        </w:rPr>
      </w:pPr>
      <w:r w:rsidRPr="0041739D">
        <w:rPr>
          <w:rFonts w:ascii="Times New Roman" w:hAnsi="Times New Roman" w:cs="Times New Roman"/>
          <w:sz w:val="24"/>
          <w:szCs w:val="24"/>
          <w:lang w:val="en"/>
        </w:rPr>
        <w:t>It has been five years since the Future of Nursing Report was issued and the North Carolina State Action Coalition formed to begin work on ad</w:t>
      </w:r>
      <w:r w:rsidR="00920A41" w:rsidRPr="0041739D">
        <w:rPr>
          <w:rFonts w:ascii="Times New Roman" w:hAnsi="Times New Roman" w:cs="Times New Roman"/>
          <w:sz w:val="24"/>
          <w:szCs w:val="24"/>
          <w:lang w:val="en"/>
        </w:rPr>
        <w:t xml:space="preserve">dressing four important goals. </w:t>
      </w:r>
      <w:r w:rsidRPr="0041739D">
        <w:rPr>
          <w:rFonts w:ascii="Times New Roman" w:hAnsi="Times New Roman" w:cs="Times New Roman"/>
          <w:sz w:val="24"/>
          <w:szCs w:val="24"/>
          <w:lang w:val="en"/>
        </w:rPr>
        <w:t>We have perceived our role to be facilitator, contributor, promoter and reporter of statewide activities through strategic partnerships with academic, practice, professional organi</w:t>
      </w:r>
      <w:r w:rsidR="00920A41" w:rsidRPr="0041739D">
        <w:rPr>
          <w:rFonts w:ascii="Times New Roman" w:hAnsi="Times New Roman" w:cs="Times New Roman"/>
          <w:sz w:val="24"/>
          <w:szCs w:val="24"/>
          <w:lang w:val="en"/>
        </w:rPr>
        <w:t>zations and other stakeholders.</w:t>
      </w:r>
      <w:r w:rsidRPr="0041739D">
        <w:rPr>
          <w:rFonts w:ascii="Times New Roman" w:hAnsi="Times New Roman" w:cs="Times New Roman"/>
          <w:sz w:val="24"/>
          <w:szCs w:val="24"/>
          <w:lang w:val="en"/>
        </w:rPr>
        <w:t xml:space="preserve"> Below, please find summary exemplars of our wor</w:t>
      </w:r>
      <w:r w:rsidR="00920A41" w:rsidRPr="0041739D">
        <w:rPr>
          <w:rFonts w:ascii="Times New Roman" w:hAnsi="Times New Roman" w:cs="Times New Roman"/>
          <w:sz w:val="24"/>
          <w:szCs w:val="24"/>
          <w:lang w:val="en"/>
        </w:rPr>
        <w:t xml:space="preserve">k and accomplishments to date. </w:t>
      </w:r>
      <w:r w:rsidRPr="0041739D">
        <w:rPr>
          <w:rFonts w:ascii="Times New Roman" w:hAnsi="Times New Roman" w:cs="Times New Roman"/>
          <w:sz w:val="24"/>
          <w:szCs w:val="24"/>
          <w:lang w:val="en"/>
        </w:rPr>
        <w:t>While work and measureable progress is occurring in each of the report’s eight priority areas across our state, we have chosen to report on the four goals that our Coalition selected as priorities for collective action.</w:t>
      </w:r>
    </w:p>
    <w:p w14:paraId="67F6C22F" w14:textId="77777777" w:rsidR="00F26D69" w:rsidRDefault="00EC2E0D" w:rsidP="00F26D69">
      <w:pPr>
        <w:spacing w:before="60" w:after="0" w:line="240" w:lineRule="auto"/>
        <w:rPr>
          <w:rFonts w:ascii="Times New Roman" w:eastAsia="Times New Roman" w:hAnsi="Times New Roman" w:cs="Times New Roman"/>
          <w:b/>
          <w:sz w:val="24"/>
          <w:szCs w:val="24"/>
          <w:u w:val="single"/>
          <w:lang w:val="en"/>
        </w:rPr>
      </w:pPr>
      <w:r w:rsidRPr="0041739D">
        <w:rPr>
          <w:rFonts w:ascii="Times New Roman" w:eastAsia="Times New Roman" w:hAnsi="Times New Roman" w:cs="Times New Roman"/>
          <w:b/>
          <w:sz w:val="24"/>
          <w:szCs w:val="24"/>
          <w:u w:val="single"/>
          <w:lang w:val="en"/>
        </w:rPr>
        <w:t>Improve access to care for North Carolinians</w:t>
      </w:r>
    </w:p>
    <w:p w14:paraId="7E39F379" w14:textId="4F5F7792" w:rsidR="00355724" w:rsidRPr="0041739D" w:rsidRDefault="00502DB9" w:rsidP="005538B8">
      <w:pPr>
        <w:spacing w:before="60" w:after="100" w:afterAutospacing="1" w:line="240" w:lineRule="auto"/>
        <w:rPr>
          <w:rFonts w:ascii="Times New Roman" w:eastAsia="Times New Roman" w:hAnsi="Times New Roman" w:cs="Times New Roman"/>
          <w:b/>
          <w:sz w:val="24"/>
          <w:szCs w:val="24"/>
          <w:lang w:val="en"/>
        </w:rPr>
      </w:pPr>
      <w:r w:rsidRPr="0041739D">
        <w:rPr>
          <w:rFonts w:ascii="Times New Roman" w:eastAsia="Times New Roman" w:hAnsi="Times New Roman" w:cs="Times New Roman"/>
          <w:sz w:val="24"/>
          <w:szCs w:val="24"/>
          <w:lang w:val="en"/>
        </w:rPr>
        <w:t>After years of research and advocacy work in North Carolina</w:t>
      </w:r>
      <w:r w:rsidR="00293438" w:rsidRPr="0041739D">
        <w:rPr>
          <w:rFonts w:ascii="Times New Roman" w:eastAsia="Times New Roman" w:hAnsi="Times New Roman" w:cs="Times New Roman"/>
          <w:sz w:val="24"/>
          <w:szCs w:val="24"/>
          <w:lang w:val="en"/>
        </w:rPr>
        <w:t>, we are pro</w:t>
      </w:r>
      <w:r w:rsidR="00811F43" w:rsidRPr="0041739D">
        <w:rPr>
          <w:rFonts w:ascii="Times New Roman" w:eastAsia="Times New Roman" w:hAnsi="Times New Roman" w:cs="Times New Roman"/>
          <w:sz w:val="24"/>
          <w:szCs w:val="24"/>
          <w:lang w:val="en"/>
        </w:rPr>
        <w:t>ud to be celebrating the introduction</w:t>
      </w:r>
      <w:r w:rsidR="00F8728F" w:rsidRPr="0041739D">
        <w:rPr>
          <w:rFonts w:ascii="Times New Roman" w:eastAsia="Times New Roman" w:hAnsi="Times New Roman" w:cs="Times New Roman"/>
          <w:sz w:val="24"/>
          <w:szCs w:val="24"/>
          <w:lang w:val="en"/>
        </w:rPr>
        <w:t xml:space="preserve"> of HB 809 and SB 695 to m</w:t>
      </w:r>
      <w:r w:rsidR="00293438" w:rsidRPr="0041739D">
        <w:rPr>
          <w:rFonts w:ascii="Times New Roman" w:eastAsia="Times New Roman" w:hAnsi="Times New Roman" w:cs="Times New Roman"/>
          <w:sz w:val="24"/>
          <w:szCs w:val="24"/>
          <w:lang w:val="en"/>
        </w:rPr>
        <w:t>odernize the Nursing Practice Act in North Carolina which</w:t>
      </w:r>
      <w:r w:rsidR="00355724" w:rsidRPr="0041739D">
        <w:rPr>
          <w:rFonts w:ascii="Times New Roman" w:eastAsia="Times New Roman" w:hAnsi="Times New Roman" w:cs="Times New Roman"/>
          <w:sz w:val="24"/>
          <w:szCs w:val="24"/>
          <w:lang w:val="en"/>
        </w:rPr>
        <w:t xml:space="preserve"> the North Carolina Board of Nursing supported and</w:t>
      </w:r>
      <w:r w:rsidR="00293438" w:rsidRPr="0041739D">
        <w:rPr>
          <w:rFonts w:ascii="Times New Roman" w:eastAsia="Times New Roman" w:hAnsi="Times New Roman" w:cs="Times New Roman"/>
          <w:sz w:val="24"/>
          <w:szCs w:val="24"/>
          <w:lang w:val="en"/>
        </w:rPr>
        <w:t xml:space="preserve"> the North Carolina Nurses Association carefully promoted</w:t>
      </w:r>
      <w:r w:rsidR="00EC2E0D" w:rsidRPr="0041739D">
        <w:rPr>
          <w:rFonts w:ascii="Times New Roman" w:eastAsia="Times New Roman" w:hAnsi="Times New Roman" w:cs="Times New Roman"/>
          <w:sz w:val="24"/>
          <w:szCs w:val="24"/>
          <w:lang w:val="en"/>
        </w:rPr>
        <w:t>.</w:t>
      </w:r>
      <w:r w:rsidR="00A74E15" w:rsidRPr="0041739D">
        <w:rPr>
          <w:rFonts w:ascii="Times New Roman" w:eastAsia="Times New Roman" w:hAnsi="Times New Roman" w:cs="Times New Roman"/>
          <w:sz w:val="24"/>
          <w:szCs w:val="24"/>
          <w:lang w:val="en"/>
        </w:rPr>
        <w:t xml:space="preserve"> </w:t>
      </w:r>
      <w:r w:rsidR="00293438" w:rsidRPr="0041739D">
        <w:rPr>
          <w:rFonts w:ascii="Times New Roman" w:eastAsia="Times New Roman" w:hAnsi="Times New Roman" w:cs="Times New Roman"/>
          <w:sz w:val="24"/>
          <w:szCs w:val="24"/>
          <w:lang w:val="en"/>
        </w:rPr>
        <w:t>We are still actively supporting the North Caro</w:t>
      </w:r>
      <w:r w:rsidR="00D97DFF" w:rsidRPr="0041739D">
        <w:rPr>
          <w:rFonts w:ascii="Times New Roman" w:eastAsia="Times New Roman" w:hAnsi="Times New Roman" w:cs="Times New Roman"/>
          <w:sz w:val="24"/>
          <w:szCs w:val="24"/>
          <w:lang w:val="en"/>
        </w:rPr>
        <w:t>lina Nurses Association in</w:t>
      </w:r>
      <w:r w:rsidR="00293438" w:rsidRPr="0041739D">
        <w:rPr>
          <w:rFonts w:ascii="Times New Roman" w:eastAsia="Times New Roman" w:hAnsi="Times New Roman" w:cs="Times New Roman"/>
          <w:sz w:val="24"/>
          <w:szCs w:val="24"/>
          <w:lang w:val="en"/>
        </w:rPr>
        <w:t xml:space="preserve"> pursuit of modernization of practice privileges for </w:t>
      </w:r>
      <w:r w:rsidR="00811F43" w:rsidRPr="0041739D">
        <w:rPr>
          <w:rFonts w:ascii="Times New Roman" w:eastAsia="Times New Roman" w:hAnsi="Times New Roman" w:cs="Times New Roman"/>
          <w:sz w:val="24"/>
          <w:szCs w:val="24"/>
          <w:lang w:val="en"/>
        </w:rPr>
        <w:t xml:space="preserve">advanced practice nurses including </w:t>
      </w:r>
      <w:r w:rsidR="00293438" w:rsidRPr="0041739D">
        <w:rPr>
          <w:rFonts w:ascii="Times New Roman" w:eastAsia="Times New Roman" w:hAnsi="Times New Roman" w:cs="Times New Roman"/>
          <w:sz w:val="24"/>
          <w:szCs w:val="24"/>
          <w:lang w:val="en"/>
        </w:rPr>
        <w:t>the Certified Nurses Midwives in our state.</w:t>
      </w:r>
      <w:r w:rsidR="00A74E15" w:rsidRPr="0041739D">
        <w:rPr>
          <w:rFonts w:ascii="Times New Roman" w:eastAsia="Times New Roman" w:hAnsi="Times New Roman" w:cs="Times New Roman"/>
          <w:sz w:val="24"/>
          <w:szCs w:val="24"/>
          <w:lang w:val="en"/>
        </w:rPr>
        <w:t xml:space="preserve"> </w:t>
      </w:r>
    </w:p>
    <w:p w14:paraId="3D8AE860" w14:textId="1163B975" w:rsidR="005538B8" w:rsidRPr="0041739D" w:rsidRDefault="005538B8" w:rsidP="00F26D69">
      <w:pPr>
        <w:spacing w:before="60" w:after="0" w:line="240" w:lineRule="auto"/>
        <w:rPr>
          <w:rFonts w:ascii="Times New Roman" w:eastAsia="Times New Roman" w:hAnsi="Times New Roman" w:cs="Times New Roman"/>
          <w:b/>
          <w:sz w:val="24"/>
          <w:szCs w:val="24"/>
          <w:u w:val="single"/>
          <w:lang w:val="en"/>
        </w:rPr>
      </w:pPr>
      <w:r w:rsidRPr="0041739D">
        <w:rPr>
          <w:rFonts w:ascii="Times New Roman" w:eastAsia="Times New Roman" w:hAnsi="Times New Roman" w:cs="Times New Roman"/>
          <w:b/>
          <w:sz w:val="24"/>
          <w:szCs w:val="24"/>
          <w:u w:val="single"/>
          <w:lang w:val="en"/>
        </w:rPr>
        <w:t xml:space="preserve">Increase the </w:t>
      </w:r>
      <w:r w:rsidR="00355724" w:rsidRPr="0041739D">
        <w:rPr>
          <w:rFonts w:ascii="Times New Roman" w:eastAsia="Times New Roman" w:hAnsi="Times New Roman" w:cs="Times New Roman"/>
          <w:b/>
          <w:sz w:val="24"/>
          <w:szCs w:val="24"/>
          <w:u w:val="single"/>
          <w:lang w:val="en"/>
        </w:rPr>
        <w:t>P</w:t>
      </w:r>
      <w:r w:rsidRPr="0041739D">
        <w:rPr>
          <w:rFonts w:ascii="Times New Roman" w:eastAsia="Times New Roman" w:hAnsi="Times New Roman" w:cs="Times New Roman"/>
          <w:b/>
          <w:sz w:val="24"/>
          <w:szCs w:val="24"/>
          <w:u w:val="single"/>
          <w:lang w:val="en"/>
        </w:rPr>
        <w:t xml:space="preserve">roportion of </w:t>
      </w:r>
      <w:r w:rsidR="00355724" w:rsidRPr="0041739D">
        <w:rPr>
          <w:rFonts w:ascii="Times New Roman" w:eastAsia="Times New Roman" w:hAnsi="Times New Roman" w:cs="Times New Roman"/>
          <w:b/>
          <w:sz w:val="24"/>
          <w:szCs w:val="24"/>
          <w:u w:val="single"/>
          <w:lang w:val="en"/>
        </w:rPr>
        <w:t>N</w:t>
      </w:r>
      <w:r w:rsidRPr="0041739D">
        <w:rPr>
          <w:rFonts w:ascii="Times New Roman" w:eastAsia="Times New Roman" w:hAnsi="Times New Roman" w:cs="Times New Roman"/>
          <w:b/>
          <w:sz w:val="24"/>
          <w:szCs w:val="24"/>
          <w:u w:val="single"/>
          <w:lang w:val="en"/>
        </w:rPr>
        <w:t xml:space="preserve">urses with a </w:t>
      </w:r>
      <w:r w:rsidR="00355724" w:rsidRPr="0041739D">
        <w:rPr>
          <w:rFonts w:ascii="Times New Roman" w:eastAsia="Times New Roman" w:hAnsi="Times New Roman" w:cs="Times New Roman"/>
          <w:b/>
          <w:sz w:val="24"/>
          <w:szCs w:val="24"/>
          <w:u w:val="single"/>
          <w:lang w:val="en"/>
        </w:rPr>
        <w:t>B</w:t>
      </w:r>
      <w:r w:rsidRPr="0041739D">
        <w:rPr>
          <w:rFonts w:ascii="Times New Roman" w:eastAsia="Times New Roman" w:hAnsi="Times New Roman" w:cs="Times New Roman"/>
          <w:b/>
          <w:sz w:val="24"/>
          <w:szCs w:val="24"/>
          <w:u w:val="single"/>
          <w:lang w:val="en"/>
        </w:rPr>
        <w:t xml:space="preserve">accalaureate </w:t>
      </w:r>
      <w:r w:rsidR="00355724" w:rsidRPr="0041739D">
        <w:rPr>
          <w:rFonts w:ascii="Times New Roman" w:eastAsia="Times New Roman" w:hAnsi="Times New Roman" w:cs="Times New Roman"/>
          <w:b/>
          <w:sz w:val="24"/>
          <w:szCs w:val="24"/>
          <w:u w:val="single"/>
          <w:lang w:val="en"/>
        </w:rPr>
        <w:t>D</w:t>
      </w:r>
      <w:r w:rsidRPr="0041739D">
        <w:rPr>
          <w:rFonts w:ascii="Times New Roman" w:eastAsia="Times New Roman" w:hAnsi="Times New Roman" w:cs="Times New Roman"/>
          <w:b/>
          <w:sz w:val="24"/>
          <w:szCs w:val="24"/>
          <w:u w:val="single"/>
          <w:lang w:val="en"/>
        </w:rPr>
        <w:t>egree to 80 percent by 2020</w:t>
      </w:r>
    </w:p>
    <w:p w14:paraId="59A361B9" w14:textId="681D988B" w:rsidR="00DD2562" w:rsidRPr="00DD2562" w:rsidRDefault="00355724" w:rsidP="00DD2562">
      <w:pPr>
        <w:pStyle w:val="ListParagraph"/>
        <w:numPr>
          <w:ilvl w:val="0"/>
          <w:numId w:val="2"/>
        </w:numPr>
        <w:spacing w:before="60" w:after="100" w:afterAutospacing="1" w:line="240" w:lineRule="auto"/>
        <w:rPr>
          <w:rFonts w:ascii="Times New Roman" w:eastAsia="Times New Roman" w:hAnsi="Times New Roman" w:cs="Times New Roman"/>
          <w:sz w:val="24"/>
          <w:szCs w:val="24"/>
          <w:lang w:val="en"/>
        </w:rPr>
      </w:pPr>
      <w:r w:rsidRPr="00DD2562">
        <w:rPr>
          <w:rFonts w:ascii="Times New Roman" w:eastAsia="Times New Roman" w:hAnsi="Times New Roman" w:cs="Times New Roman"/>
          <w:sz w:val="24"/>
          <w:szCs w:val="24"/>
          <w:lang w:val="en"/>
        </w:rPr>
        <w:t>Regionally Increasing Baccalaureate Nurses (RIBN), the N</w:t>
      </w:r>
      <w:r w:rsidR="00EC2E0D" w:rsidRPr="00DD2562">
        <w:rPr>
          <w:rFonts w:ascii="Times New Roman" w:eastAsia="Times New Roman" w:hAnsi="Times New Roman" w:cs="Times New Roman"/>
          <w:sz w:val="24"/>
          <w:szCs w:val="24"/>
          <w:lang w:val="en"/>
        </w:rPr>
        <w:t xml:space="preserve">orth </w:t>
      </w:r>
      <w:r w:rsidRPr="00DD2562">
        <w:rPr>
          <w:rFonts w:ascii="Times New Roman" w:eastAsia="Times New Roman" w:hAnsi="Times New Roman" w:cs="Times New Roman"/>
          <w:sz w:val="24"/>
          <w:szCs w:val="24"/>
          <w:lang w:val="en"/>
        </w:rPr>
        <w:t>C</w:t>
      </w:r>
      <w:r w:rsidR="00EC2E0D" w:rsidRPr="00DD2562">
        <w:rPr>
          <w:rFonts w:ascii="Times New Roman" w:eastAsia="Times New Roman" w:hAnsi="Times New Roman" w:cs="Times New Roman"/>
          <w:sz w:val="24"/>
          <w:szCs w:val="24"/>
          <w:lang w:val="en"/>
        </w:rPr>
        <w:t>arolina</w:t>
      </w:r>
      <w:r w:rsidRPr="00DD2562">
        <w:rPr>
          <w:rFonts w:ascii="Times New Roman" w:eastAsia="Times New Roman" w:hAnsi="Times New Roman" w:cs="Times New Roman"/>
          <w:sz w:val="24"/>
          <w:szCs w:val="24"/>
          <w:lang w:val="en"/>
        </w:rPr>
        <w:t xml:space="preserve"> FON Action Coalition’s official academic progression initiative, is an economically feasible BSN option which partners university and community college programs of nursing for a </w:t>
      </w:r>
      <w:r w:rsidR="003079D8" w:rsidRPr="00DD2562">
        <w:rPr>
          <w:rFonts w:ascii="Times New Roman" w:eastAsia="Times New Roman" w:hAnsi="Times New Roman" w:cs="Times New Roman"/>
          <w:sz w:val="24"/>
          <w:szCs w:val="24"/>
          <w:lang w:val="en"/>
        </w:rPr>
        <w:lastRenderedPageBreak/>
        <w:t xml:space="preserve">regionally based </w:t>
      </w:r>
      <w:r w:rsidRPr="00DD2562">
        <w:rPr>
          <w:rFonts w:ascii="Times New Roman" w:eastAsia="Times New Roman" w:hAnsi="Times New Roman" w:cs="Times New Roman"/>
          <w:sz w:val="24"/>
          <w:szCs w:val="24"/>
          <w:lang w:val="en"/>
        </w:rPr>
        <w:t>seamless</w:t>
      </w:r>
      <w:r w:rsidR="003079D8" w:rsidRPr="00DD2562">
        <w:rPr>
          <w:rFonts w:ascii="Times New Roman" w:eastAsia="Times New Roman" w:hAnsi="Times New Roman" w:cs="Times New Roman"/>
          <w:sz w:val="24"/>
          <w:szCs w:val="24"/>
          <w:lang w:val="en"/>
        </w:rPr>
        <w:t xml:space="preserve"> academic</w:t>
      </w:r>
      <w:r w:rsidRPr="00DD2562">
        <w:rPr>
          <w:rFonts w:ascii="Times New Roman" w:eastAsia="Times New Roman" w:hAnsi="Times New Roman" w:cs="Times New Roman"/>
          <w:sz w:val="24"/>
          <w:szCs w:val="24"/>
          <w:lang w:val="en"/>
        </w:rPr>
        <w:t xml:space="preserve"> progression pathway.</w:t>
      </w:r>
      <w:r w:rsidR="003A56CE" w:rsidRPr="00DD2562">
        <w:rPr>
          <w:rFonts w:ascii="Times New Roman" w:eastAsia="Times New Roman" w:hAnsi="Times New Roman" w:cs="Times New Roman"/>
          <w:sz w:val="24"/>
          <w:szCs w:val="24"/>
          <w:lang w:val="en"/>
        </w:rPr>
        <w:t xml:space="preserve">  </w:t>
      </w:r>
      <w:r w:rsidR="00F15699" w:rsidRPr="00DD2562">
        <w:rPr>
          <w:rFonts w:ascii="Times New Roman" w:eastAsia="Times New Roman" w:hAnsi="Times New Roman" w:cs="Times New Roman"/>
          <w:sz w:val="24"/>
          <w:szCs w:val="24"/>
          <w:lang w:val="en"/>
        </w:rPr>
        <w:t>The program specifically</w:t>
      </w:r>
      <w:r w:rsidR="00F428C4" w:rsidRPr="00DD2562">
        <w:rPr>
          <w:rFonts w:ascii="Times New Roman" w:eastAsia="Times New Roman" w:hAnsi="Times New Roman" w:cs="Times New Roman"/>
          <w:sz w:val="24"/>
          <w:szCs w:val="24"/>
          <w:lang w:val="en"/>
        </w:rPr>
        <w:t xml:space="preserve"> targets those</w:t>
      </w:r>
      <w:r w:rsidR="00F15699" w:rsidRPr="00DD2562">
        <w:rPr>
          <w:rFonts w:ascii="Times New Roman" w:eastAsia="Times New Roman" w:hAnsi="Times New Roman" w:cs="Times New Roman"/>
          <w:sz w:val="24"/>
          <w:szCs w:val="24"/>
          <w:lang w:val="en"/>
        </w:rPr>
        <w:t xml:space="preserve"> who must remain i</w:t>
      </w:r>
      <w:r w:rsidR="00F428C4" w:rsidRPr="00DD2562">
        <w:rPr>
          <w:rFonts w:ascii="Times New Roman" w:eastAsia="Times New Roman" w:hAnsi="Times New Roman" w:cs="Times New Roman"/>
          <w:sz w:val="24"/>
          <w:szCs w:val="24"/>
          <w:lang w:val="en"/>
        </w:rPr>
        <w:t>n their communities to earn a</w:t>
      </w:r>
      <w:r w:rsidR="00F15699" w:rsidRPr="00DD2562">
        <w:rPr>
          <w:rFonts w:ascii="Times New Roman" w:eastAsia="Times New Roman" w:hAnsi="Times New Roman" w:cs="Times New Roman"/>
          <w:sz w:val="24"/>
          <w:szCs w:val="24"/>
          <w:lang w:val="en"/>
        </w:rPr>
        <w:t xml:space="preserve"> nursing degree. </w:t>
      </w:r>
      <w:r w:rsidR="00DD2562" w:rsidRPr="00DD2562">
        <w:rPr>
          <w:rFonts w:ascii="Times New Roman" w:eastAsia="Times New Roman" w:hAnsi="Times New Roman" w:cs="Times New Roman"/>
          <w:sz w:val="24"/>
          <w:szCs w:val="24"/>
          <w:lang w:val="en"/>
        </w:rPr>
        <w:t xml:space="preserve">The APIN Grant for NC, co-lead by the Foundation for Nursing Excellence (FFNE) and NC Area Health Education Centers Program (NC AHEC), in addition to generous financial support through The Duke Endowment, Kate B. Reynolds Foundation, the Jonas Center for Nursing Excellence, the Robert Wood Johnson Foundation and the NC Area Health Education Centers Program, is a critical factor in the success of RIBN.  </w:t>
      </w:r>
    </w:p>
    <w:p w14:paraId="15019221" w14:textId="7111F9A7" w:rsidR="00CF420C" w:rsidRPr="0041739D" w:rsidRDefault="00355724" w:rsidP="00DD2562">
      <w:pPr>
        <w:pStyle w:val="ListParagraph"/>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While RIBN is a robust state-wide program </w:t>
      </w:r>
      <w:r w:rsidR="003079D8" w:rsidRPr="0041739D">
        <w:rPr>
          <w:rFonts w:ascii="Times New Roman" w:eastAsia="Times New Roman" w:hAnsi="Times New Roman" w:cs="Times New Roman"/>
          <w:sz w:val="24"/>
          <w:szCs w:val="24"/>
          <w:lang w:val="en"/>
        </w:rPr>
        <w:t xml:space="preserve">with a student </w:t>
      </w:r>
      <w:r w:rsidR="00C7092D" w:rsidRPr="0041739D">
        <w:rPr>
          <w:rFonts w:ascii="Times New Roman" w:eastAsia="Times New Roman" w:hAnsi="Times New Roman" w:cs="Times New Roman"/>
          <w:sz w:val="24"/>
          <w:szCs w:val="24"/>
          <w:lang w:val="en"/>
        </w:rPr>
        <w:t>enrollment approaching</w:t>
      </w:r>
      <w:r w:rsidR="003079D8" w:rsidRPr="0041739D">
        <w:rPr>
          <w:rFonts w:ascii="Times New Roman" w:eastAsia="Times New Roman" w:hAnsi="Times New Roman" w:cs="Times New Roman"/>
          <w:sz w:val="24"/>
          <w:szCs w:val="24"/>
          <w:lang w:val="en"/>
        </w:rPr>
        <w:t xml:space="preserve"> 400 and</w:t>
      </w:r>
      <w:r w:rsidRPr="0041739D">
        <w:rPr>
          <w:rFonts w:ascii="Times New Roman" w:eastAsia="Times New Roman" w:hAnsi="Times New Roman" w:cs="Times New Roman"/>
          <w:sz w:val="24"/>
          <w:szCs w:val="24"/>
          <w:lang w:val="en"/>
        </w:rPr>
        <w:t xml:space="preserve"> promises to infuse 160 additional BSN nurses into the N</w:t>
      </w:r>
      <w:r w:rsidR="00EC2E0D" w:rsidRPr="0041739D">
        <w:rPr>
          <w:rFonts w:ascii="Times New Roman" w:eastAsia="Times New Roman" w:hAnsi="Times New Roman" w:cs="Times New Roman"/>
          <w:sz w:val="24"/>
          <w:szCs w:val="24"/>
          <w:lang w:val="en"/>
        </w:rPr>
        <w:t xml:space="preserve">orth </w:t>
      </w:r>
      <w:r w:rsidRPr="0041739D">
        <w:rPr>
          <w:rFonts w:ascii="Times New Roman" w:eastAsia="Times New Roman" w:hAnsi="Times New Roman" w:cs="Times New Roman"/>
          <w:sz w:val="24"/>
          <w:szCs w:val="24"/>
          <w:lang w:val="en"/>
        </w:rPr>
        <w:t>C</w:t>
      </w:r>
      <w:r w:rsidR="00EC2E0D" w:rsidRPr="0041739D">
        <w:rPr>
          <w:rFonts w:ascii="Times New Roman" w:eastAsia="Times New Roman" w:hAnsi="Times New Roman" w:cs="Times New Roman"/>
          <w:sz w:val="24"/>
          <w:szCs w:val="24"/>
          <w:lang w:val="en"/>
        </w:rPr>
        <w:t>arolina</w:t>
      </w:r>
      <w:r w:rsidRPr="0041739D">
        <w:rPr>
          <w:rFonts w:ascii="Times New Roman" w:eastAsia="Times New Roman" w:hAnsi="Times New Roman" w:cs="Times New Roman"/>
          <w:sz w:val="24"/>
          <w:szCs w:val="24"/>
          <w:lang w:val="en"/>
        </w:rPr>
        <w:t xml:space="preserve"> nursing workforce annually by 2020, extensive co</w:t>
      </w:r>
      <w:r w:rsidR="003079D8" w:rsidRPr="0041739D">
        <w:rPr>
          <w:rFonts w:ascii="Times New Roman" w:eastAsia="Times New Roman" w:hAnsi="Times New Roman" w:cs="Times New Roman"/>
          <w:sz w:val="24"/>
          <w:szCs w:val="24"/>
          <w:lang w:val="en"/>
        </w:rPr>
        <w:t>llaboration across the state in other initiatives is likewis</w:t>
      </w:r>
      <w:r w:rsidR="00EC2E0D" w:rsidRPr="0041739D">
        <w:rPr>
          <w:rFonts w:ascii="Times New Roman" w:eastAsia="Times New Roman" w:hAnsi="Times New Roman" w:cs="Times New Roman"/>
          <w:sz w:val="24"/>
          <w:szCs w:val="24"/>
          <w:lang w:val="en"/>
        </w:rPr>
        <w:t>e contributing to the BSN goal.</w:t>
      </w:r>
      <w:r w:rsidR="003079D8" w:rsidRPr="0041739D">
        <w:rPr>
          <w:rFonts w:ascii="Times New Roman" w:eastAsia="Times New Roman" w:hAnsi="Times New Roman" w:cs="Times New Roman"/>
          <w:sz w:val="24"/>
          <w:szCs w:val="24"/>
          <w:lang w:val="en"/>
        </w:rPr>
        <w:t xml:space="preserve"> North Carolina’s ne</w:t>
      </w:r>
      <w:r w:rsidR="00A74E15" w:rsidRPr="0041739D">
        <w:rPr>
          <w:rFonts w:ascii="Times New Roman" w:eastAsia="Times New Roman" w:hAnsi="Times New Roman" w:cs="Times New Roman"/>
          <w:sz w:val="24"/>
          <w:szCs w:val="24"/>
          <w:lang w:val="en"/>
        </w:rPr>
        <w:t>edle is moving as noted below.</w:t>
      </w:r>
    </w:p>
    <w:tbl>
      <w:tblPr>
        <w:tblStyle w:val="TableGrid1"/>
        <w:tblW w:w="9468" w:type="dxa"/>
        <w:tblLook w:val="04A0" w:firstRow="1" w:lastRow="0" w:firstColumn="1" w:lastColumn="0" w:noHBand="0" w:noVBand="1"/>
      </w:tblPr>
      <w:tblGrid>
        <w:gridCol w:w="2538"/>
        <w:gridCol w:w="1530"/>
        <w:gridCol w:w="1350"/>
        <w:gridCol w:w="1170"/>
        <w:gridCol w:w="1440"/>
        <w:gridCol w:w="1440"/>
      </w:tblGrid>
      <w:tr w:rsidR="0041739D" w:rsidRPr="0041739D" w14:paraId="4BFA1032" w14:textId="77777777" w:rsidTr="00A74E15">
        <w:trPr>
          <w:trHeight w:val="288"/>
        </w:trPr>
        <w:tc>
          <w:tcPr>
            <w:tcW w:w="2538" w:type="dxa"/>
            <w:noWrap/>
            <w:hideMark/>
          </w:tcPr>
          <w:p w14:paraId="7553A981" w14:textId="77777777" w:rsidR="00075988" w:rsidRPr="0041739D" w:rsidRDefault="00075988" w:rsidP="00075988">
            <w:pPr>
              <w:rPr>
                <w:rFonts w:ascii="Calibri" w:eastAsia="Calibri" w:hAnsi="Calibri" w:cs="Times New Roman"/>
                <w:b/>
                <w:bCs/>
              </w:rPr>
            </w:pPr>
            <w:r w:rsidRPr="0041739D">
              <w:rPr>
                <w:rFonts w:ascii="Calibri" w:eastAsia="Calibri" w:hAnsi="Calibri" w:cs="Times New Roman"/>
                <w:b/>
                <w:bCs/>
              </w:rPr>
              <w:t>Highest Degree Held</w:t>
            </w:r>
          </w:p>
        </w:tc>
        <w:tc>
          <w:tcPr>
            <w:tcW w:w="1530" w:type="dxa"/>
            <w:noWrap/>
            <w:hideMark/>
          </w:tcPr>
          <w:p w14:paraId="259AA28A" w14:textId="77777777"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Number</w:t>
            </w:r>
          </w:p>
          <w:p w14:paraId="385A5888" w14:textId="77777777"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2009</w:t>
            </w:r>
          </w:p>
        </w:tc>
        <w:tc>
          <w:tcPr>
            <w:tcW w:w="1350" w:type="dxa"/>
            <w:noWrap/>
            <w:hideMark/>
          </w:tcPr>
          <w:p w14:paraId="7D032F6C" w14:textId="77777777"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Percent 2009</w:t>
            </w:r>
          </w:p>
        </w:tc>
        <w:tc>
          <w:tcPr>
            <w:tcW w:w="1170" w:type="dxa"/>
          </w:tcPr>
          <w:p w14:paraId="7E3F3027" w14:textId="1C83EE6E"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Number 2013</w:t>
            </w:r>
          </w:p>
        </w:tc>
        <w:tc>
          <w:tcPr>
            <w:tcW w:w="1440" w:type="dxa"/>
          </w:tcPr>
          <w:p w14:paraId="2325AA74" w14:textId="77777777"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Percent</w:t>
            </w:r>
          </w:p>
          <w:p w14:paraId="592733FD" w14:textId="7708E39A"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 xml:space="preserve"> 2013</w:t>
            </w:r>
          </w:p>
        </w:tc>
        <w:tc>
          <w:tcPr>
            <w:tcW w:w="1440" w:type="dxa"/>
            <w:shd w:val="clear" w:color="auto" w:fill="auto"/>
          </w:tcPr>
          <w:p w14:paraId="5002596F" w14:textId="77777777" w:rsidR="00075988" w:rsidRPr="0041739D" w:rsidRDefault="00075988" w:rsidP="00075988">
            <w:pPr>
              <w:jc w:val="center"/>
              <w:rPr>
                <w:rFonts w:ascii="Calibri" w:eastAsia="Calibri" w:hAnsi="Calibri" w:cs="Times New Roman"/>
                <w:b/>
                <w:bCs/>
              </w:rPr>
            </w:pPr>
            <w:r w:rsidRPr="0041739D">
              <w:rPr>
                <w:rFonts w:ascii="Calibri" w:eastAsia="Calibri" w:hAnsi="Calibri" w:cs="Times New Roman"/>
                <w:b/>
                <w:bCs/>
              </w:rPr>
              <w:t>% Change</w:t>
            </w:r>
          </w:p>
          <w:p w14:paraId="052DE014" w14:textId="77777777" w:rsidR="00075988" w:rsidRPr="0041739D" w:rsidRDefault="00075988" w:rsidP="00075988">
            <w:pPr>
              <w:jc w:val="center"/>
              <w:rPr>
                <w:rFonts w:ascii="Calibri" w:eastAsia="Calibri" w:hAnsi="Calibri" w:cs="Times New Roman"/>
                <w:b/>
                <w:bCs/>
              </w:rPr>
            </w:pPr>
          </w:p>
        </w:tc>
      </w:tr>
      <w:tr w:rsidR="0041739D" w:rsidRPr="0041739D" w14:paraId="1627619C" w14:textId="77777777" w:rsidTr="00A74E15">
        <w:trPr>
          <w:trHeight w:val="288"/>
        </w:trPr>
        <w:tc>
          <w:tcPr>
            <w:tcW w:w="2538" w:type="dxa"/>
            <w:noWrap/>
            <w:hideMark/>
          </w:tcPr>
          <w:p w14:paraId="534C1917" w14:textId="77777777" w:rsidR="00075988" w:rsidRPr="0041739D" w:rsidRDefault="00075988" w:rsidP="00075988">
            <w:pPr>
              <w:rPr>
                <w:rFonts w:ascii="Calibri" w:eastAsia="Calibri" w:hAnsi="Calibri" w:cs="Times New Roman"/>
              </w:rPr>
            </w:pPr>
            <w:r w:rsidRPr="0041739D">
              <w:rPr>
                <w:rFonts w:ascii="Calibri" w:eastAsia="Calibri" w:hAnsi="Calibri" w:cs="Times New Roman"/>
              </w:rPr>
              <w:t>Unknown</w:t>
            </w:r>
          </w:p>
        </w:tc>
        <w:tc>
          <w:tcPr>
            <w:tcW w:w="1530" w:type="dxa"/>
            <w:noWrap/>
            <w:vAlign w:val="center"/>
          </w:tcPr>
          <w:p w14:paraId="296B79C6"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9210</w:t>
            </w:r>
          </w:p>
        </w:tc>
        <w:tc>
          <w:tcPr>
            <w:tcW w:w="1350" w:type="dxa"/>
            <w:noWrap/>
            <w:vAlign w:val="bottom"/>
          </w:tcPr>
          <w:p w14:paraId="1B2B626B"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10.13%</w:t>
            </w:r>
          </w:p>
        </w:tc>
        <w:tc>
          <w:tcPr>
            <w:tcW w:w="1170" w:type="dxa"/>
          </w:tcPr>
          <w:p w14:paraId="6A6B7344"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9308</w:t>
            </w:r>
          </w:p>
        </w:tc>
        <w:tc>
          <w:tcPr>
            <w:tcW w:w="1440" w:type="dxa"/>
          </w:tcPr>
          <w:p w14:paraId="3731F416"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9.3%</w:t>
            </w:r>
          </w:p>
        </w:tc>
        <w:tc>
          <w:tcPr>
            <w:tcW w:w="1440" w:type="dxa"/>
            <w:shd w:val="clear" w:color="auto" w:fill="auto"/>
          </w:tcPr>
          <w:p w14:paraId="126DB78D" w14:textId="77777777" w:rsidR="00075988" w:rsidRPr="0041739D" w:rsidRDefault="00075988" w:rsidP="00075988">
            <w:pPr>
              <w:jc w:val="center"/>
              <w:rPr>
                <w:rFonts w:ascii="Calibri" w:eastAsia="Calibri" w:hAnsi="Calibri" w:cs="Times New Roman"/>
              </w:rPr>
            </w:pPr>
          </w:p>
        </w:tc>
      </w:tr>
      <w:tr w:rsidR="0041739D" w:rsidRPr="0041739D" w14:paraId="23A1FCB9" w14:textId="77777777" w:rsidTr="00A74E15">
        <w:trPr>
          <w:trHeight w:val="288"/>
        </w:trPr>
        <w:tc>
          <w:tcPr>
            <w:tcW w:w="2538" w:type="dxa"/>
            <w:noWrap/>
            <w:hideMark/>
          </w:tcPr>
          <w:p w14:paraId="7FD858C9" w14:textId="77777777" w:rsidR="00075988" w:rsidRPr="0041739D" w:rsidRDefault="00075988" w:rsidP="00075988">
            <w:pPr>
              <w:rPr>
                <w:rFonts w:ascii="Calibri" w:eastAsia="Calibri" w:hAnsi="Calibri" w:cs="Times New Roman"/>
              </w:rPr>
            </w:pPr>
            <w:r w:rsidRPr="0041739D">
              <w:rPr>
                <w:rFonts w:ascii="Calibri" w:eastAsia="Calibri" w:hAnsi="Calibri" w:cs="Times New Roman"/>
              </w:rPr>
              <w:t>Diploma/Associate Degree</w:t>
            </w:r>
          </w:p>
        </w:tc>
        <w:tc>
          <w:tcPr>
            <w:tcW w:w="1530" w:type="dxa"/>
            <w:noWrap/>
            <w:vAlign w:val="bottom"/>
          </w:tcPr>
          <w:p w14:paraId="29D32349"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41456</w:t>
            </w:r>
          </w:p>
        </w:tc>
        <w:tc>
          <w:tcPr>
            <w:tcW w:w="1350" w:type="dxa"/>
            <w:noWrap/>
            <w:vAlign w:val="bottom"/>
          </w:tcPr>
          <w:p w14:paraId="23FD828F"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45.6%</w:t>
            </w:r>
          </w:p>
        </w:tc>
        <w:tc>
          <w:tcPr>
            <w:tcW w:w="1170" w:type="dxa"/>
          </w:tcPr>
          <w:p w14:paraId="4F867606" w14:textId="77777777" w:rsidR="00075988" w:rsidRPr="0041739D" w:rsidRDefault="00075988" w:rsidP="00075988">
            <w:pPr>
              <w:jc w:val="center"/>
              <w:rPr>
                <w:rFonts w:ascii="Calibri" w:eastAsia="Calibri" w:hAnsi="Calibri" w:cs="Times New Roman"/>
              </w:rPr>
            </w:pPr>
          </w:p>
          <w:p w14:paraId="746AA85B"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41534</w:t>
            </w:r>
          </w:p>
        </w:tc>
        <w:tc>
          <w:tcPr>
            <w:tcW w:w="1440" w:type="dxa"/>
          </w:tcPr>
          <w:p w14:paraId="3AC9A5A4" w14:textId="77777777" w:rsidR="00075988" w:rsidRPr="0041739D" w:rsidRDefault="00075988" w:rsidP="00075988">
            <w:pPr>
              <w:jc w:val="center"/>
              <w:rPr>
                <w:rFonts w:ascii="Calibri" w:eastAsia="Calibri" w:hAnsi="Calibri" w:cs="Times New Roman"/>
              </w:rPr>
            </w:pPr>
          </w:p>
          <w:p w14:paraId="64E464B6"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41.7%</w:t>
            </w:r>
          </w:p>
        </w:tc>
        <w:tc>
          <w:tcPr>
            <w:tcW w:w="1440" w:type="dxa"/>
            <w:shd w:val="clear" w:color="auto" w:fill="auto"/>
          </w:tcPr>
          <w:p w14:paraId="28F875AE" w14:textId="77777777" w:rsidR="00075988" w:rsidRPr="0041739D" w:rsidRDefault="00075988" w:rsidP="00075988">
            <w:pPr>
              <w:jc w:val="center"/>
              <w:rPr>
                <w:rFonts w:ascii="Calibri" w:eastAsia="Calibri" w:hAnsi="Calibri" w:cs="Times New Roman"/>
                <w:b/>
              </w:rPr>
            </w:pPr>
          </w:p>
          <w:p w14:paraId="5EC76CB3" w14:textId="77777777" w:rsidR="00075988" w:rsidRPr="0041739D" w:rsidRDefault="00075988" w:rsidP="00075988">
            <w:pPr>
              <w:jc w:val="center"/>
              <w:rPr>
                <w:rFonts w:ascii="Calibri" w:eastAsia="Calibri" w:hAnsi="Calibri" w:cs="Times New Roman"/>
                <w:b/>
              </w:rPr>
            </w:pPr>
            <w:r w:rsidRPr="0041739D">
              <w:rPr>
                <w:rFonts w:ascii="Calibri" w:eastAsia="Calibri" w:hAnsi="Calibri" w:cs="Times New Roman"/>
                <w:b/>
              </w:rPr>
              <w:sym w:font="Wingdings" w:char="F0E2"/>
            </w:r>
            <w:r w:rsidRPr="0041739D">
              <w:rPr>
                <w:rFonts w:ascii="Calibri" w:eastAsia="Calibri" w:hAnsi="Calibri" w:cs="Times New Roman"/>
                <w:b/>
              </w:rPr>
              <w:t>3.9%</w:t>
            </w:r>
          </w:p>
        </w:tc>
      </w:tr>
      <w:tr w:rsidR="0041739D" w:rsidRPr="0041739D" w14:paraId="2256F449" w14:textId="77777777" w:rsidTr="00A74E15">
        <w:trPr>
          <w:trHeight w:val="288"/>
        </w:trPr>
        <w:tc>
          <w:tcPr>
            <w:tcW w:w="2538" w:type="dxa"/>
            <w:noWrap/>
            <w:hideMark/>
          </w:tcPr>
          <w:p w14:paraId="18691C0D" w14:textId="77777777" w:rsidR="00075988" w:rsidRPr="0041739D" w:rsidRDefault="00075988" w:rsidP="00075988">
            <w:pPr>
              <w:rPr>
                <w:rFonts w:ascii="Calibri" w:eastAsia="Calibri" w:hAnsi="Calibri" w:cs="Times New Roman"/>
              </w:rPr>
            </w:pPr>
            <w:r w:rsidRPr="0041739D">
              <w:rPr>
                <w:rFonts w:ascii="Calibri" w:eastAsia="Calibri" w:hAnsi="Calibri" w:cs="Times New Roman"/>
              </w:rPr>
              <w:t>Baccalaureate or higher in  Nursing</w:t>
            </w:r>
          </w:p>
        </w:tc>
        <w:tc>
          <w:tcPr>
            <w:tcW w:w="1530" w:type="dxa"/>
            <w:noWrap/>
            <w:vAlign w:val="bottom"/>
          </w:tcPr>
          <w:p w14:paraId="1365E635"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33250</w:t>
            </w:r>
          </w:p>
        </w:tc>
        <w:tc>
          <w:tcPr>
            <w:tcW w:w="1350" w:type="dxa"/>
            <w:noWrap/>
            <w:vAlign w:val="bottom"/>
          </w:tcPr>
          <w:p w14:paraId="473D3DAB"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36.6%</w:t>
            </w:r>
          </w:p>
        </w:tc>
        <w:tc>
          <w:tcPr>
            <w:tcW w:w="1170" w:type="dxa"/>
          </w:tcPr>
          <w:p w14:paraId="1373AEBA" w14:textId="77777777" w:rsidR="00075988" w:rsidRPr="0041739D" w:rsidRDefault="00075988" w:rsidP="00075988">
            <w:pPr>
              <w:jc w:val="center"/>
              <w:rPr>
                <w:rFonts w:ascii="Calibri" w:eastAsia="Calibri" w:hAnsi="Calibri" w:cs="Times New Roman"/>
              </w:rPr>
            </w:pPr>
          </w:p>
          <w:p w14:paraId="5802D4BC"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40531</w:t>
            </w:r>
          </w:p>
        </w:tc>
        <w:tc>
          <w:tcPr>
            <w:tcW w:w="1440" w:type="dxa"/>
          </w:tcPr>
          <w:p w14:paraId="7FA80EDA" w14:textId="77777777" w:rsidR="00075988" w:rsidRPr="0041739D" w:rsidRDefault="00075988" w:rsidP="00075988">
            <w:pPr>
              <w:jc w:val="center"/>
              <w:rPr>
                <w:rFonts w:ascii="Calibri" w:eastAsia="Calibri" w:hAnsi="Calibri" w:cs="Times New Roman"/>
              </w:rPr>
            </w:pPr>
          </w:p>
          <w:p w14:paraId="6D4ECA3D"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40.68%</w:t>
            </w:r>
          </w:p>
        </w:tc>
        <w:tc>
          <w:tcPr>
            <w:tcW w:w="1440" w:type="dxa"/>
            <w:shd w:val="clear" w:color="auto" w:fill="auto"/>
          </w:tcPr>
          <w:p w14:paraId="02B1688C" w14:textId="77777777" w:rsidR="00075988" w:rsidRPr="0041739D" w:rsidRDefault="00075988" w:rsidP="00075988">
            <w:pPr>
              <w:jc w:val="center"/>
              <w:rPr>
                <w:rFonts w:ascii="Calibri" w:eastAsia="Calibri" w:hAnsi="Calibri" w:cs="Times New Roman"/>
                <w:b/>
              </w:rPr>
            </w:pPr>
          </w:p>
          <w:p w14:paraId="6B046300" w14:textId="77777777" w:rsidR="00075988" w:rsidRPr="0041739D" w:rsidRDefault="00075988" w:rsidP="00075988">
            <w:pPr>
              <w:jc w:val="center"/>
              <w:rPr>
                <w:rFonts w:ascii="Calibri" w:eastAsia="Calibri" w:hAnsi="Calibri" w:cs="Times New Roman"/>
                <w:b/>
              </w:rPr>
            </w:pPr>
            <w:r w:rsidRPr="0041739D">
              <w:rPr>
                <w:rFonts w:ascii="Calibri" w:eastAsia="Calibri" w:hAnsi="Calibri" w:cs="Times New Roman"/>
                <w:b/>
              </w:rPr>
              <w:sym w:font="Wingdings" w:char="F0E1"/>
            </w:r>
            <w:r w:rsidRPr="0041739D">
              <w:rPr>
                <w:rFonts w:ascii="Calibri" w:eastAsia="Calibri" w:hAnsi="Calibri" w:cs="Times New Roman"/>
                <w:b/>
              </w:rPr>
              <w:t>4.08%</w:t>
            </w:r>
          </w:p>
        </w:tc>
      </w:tr>
      <w:tr w:rsidR="0041739D" w:rsidRPr="0041739D" w14:paraId="3A34AF91" w14:textId="77777777" w:rsidTr="00A74E15">
        <w:trPr>
          <w:trHeight w:val="288"/>
        </w:trPr>
        <w:tc>
          <w:tcPr>
            <w:tcW w:w="2538" w:type="dxa"/>
            <w:noWrap/>
          </w:tcPr>
          <w:p w14:paraId="7CE653AE" w14:textId="77777777" w:rsidR="00075988" w:rsidRPr="0041739D" w:rsidRDefault="00075988" w:rsidP="00075988">
            <w:pPr>
              <w:rPr>
                <w:rFonts w:ascii="Calibri" w:eastAsia="Calibri" w:hAnsi="Calibri" w:cs="Times New Roman"/>
              </w:rPr>
            </w:pPr>
            <w:r w:rsidRPr="0041739D">
              <w:rPr>
                <w:rFonts w:ascii="Calibri" w:eastAsia="Calibri" w:hAnsi="Calibri" w:cs="Times New Roman"/>
              </w:rPr>
              <w:t>Baccalaureate or higher in Other</w:t>
            </w:r>
          </w:p>
        </w:tc>
        <w:tc>
          <w:tcPr>
            <w:tcW w:w="1530" w:type="dxa"/>
            <w:noWrap/>
            <w:vAlign w:val="bottom"/>
          </w:tcPr>
          <w:p w14:paraId="2B253F23"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7014</w:t>
            </w:r>
          </w:p>
        </w:tc>
        <w:tc>
          <w:tcPr>
            <w:tcW w:w="1350" w:type="dxa"/>
            <w:noWrap/>
            <w:vAlign w:val="bottom"/>
          </w:tcPr>
          <w:p w14:paraId="4EF3DE2E"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7.71%</w:t>
            </w:r>
          </w:p>
        </w:tc>
        <w:tc>
          <w:tcPr>
            <w:tcW w:w="1170" w:type="dxa"/>
          </w:tcPr>
          <w:p w14:paraId="7C9F7AF3" w14:textId="77777777" w:rsidR="00075988" w:rsidRPr="0041739D" w:rsidRDefault="00075988" w:rsidP="00075988">
            <w:pPr>
              <w:jc w:val="center"/>
              <w:rPr>
                <w:rFonts w:ascii="Calibri" w:eastAsia="Calibri" w:hAnsi="Calibri" w:cs="Times New Roman"/>
              </w:rPr>
            </w:pPr>
          </w:p>
          <w:p w14:paraId="0D3CC03B"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8238</w:t>
            </w:r>
          </w:p>
        </w:tc>
        <w:tc>
          <w:tcPr>
            <w:tcW w:w="1440" w:type="dxa"/>
          </w:tcPr>
          <w:p w14:paraId="6EA745F6" w14:textId="77777777" w:rsidR="00075988" w:rsidRPr="0041739D" w:rsidRDefault="00075988" w:rsidP="00075988">
            <w:pPr>
              <w:jc w:val="center"/>
              <w:rPr>
                <w:rFonts w:ascii="Calibri" w:eastAsia="Calibri" w:hAnsi="Calibri" w:cs="Times New Roman"/>
              </w:rPr>
            </w:pPr>
          </w:p>
          <w:p w14:paraId="2233E6DB"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8.27%</w:t>
            </w:r>
          </w:p>
        </w:tc>
        <w:tc>
          <w:tcPr>
            <w:tcW w:w="1440" w:type="dxa"/>
            <w:shd w:val="clear" w:color="auto" w:fill="auto"/>
          </w:tcPr>
          <w:p w14:paraId="3C2C1608" w14:textId="77777777" w:rsidR="00075988" w:rsidRPr="0041739D" w:rsidRDefault="00075988" w:rsidP="00075988">
            <w:pPr>
              <w:jc w:val="center"/>
              <w:rPr>
                <w:rFonts w:ascii="Calibri" w:eastAsia="Calibri" w:hAnsi="Calibri" w:cs="Times New Roman"/>
                <w:b/>
              </w:rPr>
            </w:pPr>
          </w:p>
          <w:p w14:paraId="02560CC6" w14:textId="77777777" w:rsidR="00075988" w:rsidRPr="0041739D" w:rsidRDefault="00075988" w:rsidP="00075988">
            <w:pPr>
              <w:jc w:val="center"/>
              <w:rPr>
                <w:rFonts w:ascii="Calibri" w:eastAsia="Calibri" w:hAnsi="Calibri" w:cs="Times New Roman"/>
                <w:b/>
              </w:rPr>
            </w:pPr>
            <w:r w:rsidRPr="0041739D">
              <w:rPr>
                <w:rFonts w:ascii="Calibri" w:eastAsia="Calibri" w:hAnsi="Calibri" w:cs="Times New Roman"/>
                <w:b/>
              </w:rPr>
              <w:sym w:font="Wingdings" w:char="F0E1"/>
            </w:r>
            <w:r w:rsidRPr="0041739D">
              <w:rPr>
                <w:rFonts w:ascii="Calibri" w:eastAsia="Calibri" w:hAnsi="Calibri" w:cs="Times New Roman"/>
                <w:b/>
              </w:rPr>
              <w:t>.56%</w:t>
            </w:r>
          </w:p>
        </w:tc>
      </w:tr>
      <w:tr w:rsidR="0041739D" w:rsidRPr="0041739D" w14:paraId="410E275D" w14:textId="77777777" w:rsidTr="00A74E15">
        <w:trPr>
          <w:trHeight w:val="288"/>
        </w:trPr>
        <w:tc>
          <w:tcPr>
            <w:tcW w:w="2538" w:type="dxa"/>
            <w:noWrap/>
            <w:hideMark/>
          </w:tcPr>
          <w:p w14:paraId="12402AE4" w14:textId="77777777" w:rsidR="00075988" w:rsidRPr="0041739D" w:rsidRDefault="00075988" w:rsidP="00075988">
            <w:pPr>
              <w:rPr>
                <w:rFonts w:ascii="Calibri" w:eastAsia="Calibri" w:hAnsi="Calibri" w:cs="Times New Roman"/>
              </w:rPr>
            </w:pPr>
            <w:r w:rsidRPr="0041739D">
              <w:rPr>
                <w:rFonts w:ascii="Calibri" w:eastAsia="Calibri" w:hAnsi="Calibri" w:cs="Times New Roman"/>
              </w:rPr>
              <w:t>Total</w:t>
            </w:r>
          </w:p>
        </w:tc>
        <w:tc>
          <w:tcPr>
            <w:tcW w:w="1530" w:type="dxa"/>
            <w:noWrap/>
          </w:tcPr>
          <w:p w14:paraId="42BA35CF"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90930</w:t>
            </w:r>
          </w:p>
        </w:tc>
        <w:tc>
          <w:tcPr>
            <w:tcW w:w="1350" w:type="dxa"/>
            <w:noWrap/>
          </w:tcPr>
          <w:p w14:paraId="7CAF1CE3" w14:textId="77777777" w:rsidR="00075988" w:rsidRPr="0041739D" w:rsidRDefault="00075988" w:rsidP="00075988">
            <w:pPr>
              <w:jc w:val="center"/>
              <w:rPr>
                <w:rFonts w:ascii="Calibri" w:eastAsia="Calibri" w:hAnsi="Calibri" w:cs="Times New Roman"/>
              </w:rPr>
            </w:pPr>
          </w:p>
        </w:tc>
        <w:tc>
          <w:tcPr>
            <w:tcW w:w="1170" w:type="dxa"/>
          </w:tcPr>
          <w:p w14:paraId="64F436BC" w14:textId="77777777" w:rsidR="00075988" w:rsidRPr="0041739D" w:rsidRDefault="00075988" w:rsidP="00075988">
            <w:pPr>
              <w:jc w:val="center"/>
              <w:rPr>
                <w:rFonts w:ascii="Calibri" w:eastAsia="Calibri" w:hAnsi="Calibri" w:cs="Times New Roman"/>
              </w:rPr>
            </w:pPr>
            <w:r w:rsidRPr="0041739D">
              <w:rPr>
                <w:rFonts w:ascii="Calibri" w:eastAsia="Calibri" w:hAnsi="Calibri" w:cs="Times New Roman"/>
              </w:rPr>
              <w:t>99611</w:t>
            </w:r>
          </w:p>
        </w:tc>
        <w:tc>
          <w:tcPr>
            <w:tcW w:w="1440" w:type="dxa"/>
          </w:tcPr>
          <w:p w14:paraId="07E4B752" w14:textId="77777777" w:rsidR="00075988" w:rsidRPr="0041739D" w:rsidRDefault="00075988" w:rsidP="00075988">
            <w:pPr>
              <w:jc w:val="center"/>
              <w:rPr>
                <w:rFonts w:ascii="Calibri" w:eastAsia="Calibri" w:hAnsi="Calibri" w:cs="Times New Roman"/>
              </w:rPr>
            </w:pPr>
          </w:p>
        </w:tc>
        <w:tc>
          <w:tcPr>
            <w:tcW w:w="1440" w:type="dxa"/>
            <w:shd w:val="clear" w:color="auto" w:fill="auto"/>
          </w:tcPr>
          <w:p w14:paraId="6C598347" w14:textId="77777777" w:rsidR="00075988" w:rsidRPr="0041739D" w:rsidRDefault="00075988" w:rsidP="00075988">
            <w:pPr>
              <w:jc w:val="center"/>
              <w:rPr>
                <w:rFonts w:ascii="Calibri" w:eastAsia="Calibri" w:hAnsi="Calibri" w:cs="Times New Roman"/>
              </w:rPr>
            </w:pPr>
          </w:p>
        </w:tc>
      </w:tr>
    </w:tbl>
    <w:p w14:paraId="13DC1388" w14:textId="1602109E" w:rsidR="00DD2562" w:rsidRPr="0041739D" w:rsidRDefault="00075988" w:rsidP="003079D8">
      <w:pPr>
        <w:spacing w:before="60" w:after="100" w:afterAutospacing="1" w:line="240" w:lineRule="auto"/>
        <w:rPr>
          <w:rFonts w:ascii="Times New Roman" w:eastAsia="Times New Roman" w:hAnsi="Times New Roman" w:cs="Times New Roman"/>
          <w:sz w:val="18"/>
          <w:szCs w:val="18"/>
          <w:lang w:val="en"/>
        </w:rPr>
      </w:pPr>
      <w:r w:rsidRPr="0041739D">
        <w:rPr>
          <w:rFonts w:ascii="Times New Roman" w:eastAsia="Times New Roman" w:hAnsi="Times New Roman" w:cs="Times New Roman"/>
          <w:sz w:val="24"/>
          <w:szCs w:val="24"/>
          <w:lang w:val="en"/>
        </w:rPr>
        <w:t>(</w:t>
      </w:r>
      <w:r w:rsidRPr="0041739D">
        <w:rPr>
          <w:rFonts w:ascii="Times New Roman" w:eastAsia="Times New Roman" w:hAnsi="Times New Roman" w:cs="Times New Roman"/>
          <w:sz w:val="18"/>
          <w:szCs w:val="18"/>
          <w:lang w:val="en"/>
        </w:rPr>
        <w:t>NC Sheps Center with data from NCBON 2010 &amp; 2015)</w:t>
      </w:r>
      <w:r w:rsidR="00DD2562">
        <w:rPr>
          <w:rFonts w:ascii="Times New Roman" w:eastAsia="Times New Roman" w:hAnsi="Times New Roman" w:cs="Times New Roman"/>
          <w:sz w:val="18"/>
          <w:szCs w:val="18"/>
          <w:lang w:val="en"/>
        </w:rPr>
        <w:tab/>
      </w:r>
    </w:p>
    <w:p w14:paraId="784FBB00" w14:textId="288E92AB" w:rsidR="00CF420C" w:rsidRPr="0041739D" w:rsidRDefault="00F84A62" w:rsidP="00F84A62">
      <w:pPr>
        <w:pStyle w:val="ListParagraph"/>
        <w:numPr>
          <w:ilvl w:val="0"/>
          <w:numId w:val="2"/>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North Carolina </w:t>
      </w:r>
      <w:r w:rsidR="00C7092D" w:rsidRPr="0041739D">
        <w:rPr>
          <w:rFonts w:ascii="Times New Roman" w:eastAsia="Times New Roman" w:hAnsi="Times New Roman" w:cs="Times New Roman"/>
          <w:sz w:val="24"/>
          <w:szCs w:val="24"/>
          <w:lang w:val="en"/>
        </w:rPr>
        <w:t>decreases barriers</w:t>
      </w:r>
      <w:r w:rsidRPr="0041739D">
        <w:rPr>
          <w:rFonts w:ascii="Times New Roman" w:eastAsia="Times New Roman" w:hAnsi="Times New Roman" w:cs="Times New Roman"/>
          <w:sz w:val="24"/>
          <w:szCs w:val="24"/>
          <w:lang w:val="en"/>
        </w:rPr>
        <w:t xml:space="preserve"> to RN-BSN completion with </w:t>
      </w:r>
      <w:r w:rsidR="00C7092D" w:rsidRPr="0041739D">
        <w:rPr>
          <w:rFonts w:ascii="Times New Roman" w:eastAsia="Times New Roman" w:hAnsi="Times New Roman" w:cs="Times New Roman"/>
          <w:sz w:val="24"/>
          <w:szCs w:val="24"/>
          <w:lang w:val="en"/>
        </w:rPr>
        <w:t>the approval</w:t>
      </w:r>
      <w:r w:rsidRPr="0041739D">
        <w:rPr>
          <w:rFonts w:ascii="Times New Roman" w:eastAsia="Times New Roman" w:hAnsi="Times New Roman" w:cs="Times New Roman"/>
          <w:sz w:val="24"/>
          <w:szCs w:val="24"/>
          <w:lang w:val="en"/>
        </w:rPr>
        <w:t xml:space="preserve"> of the RN-BSN Articulation Agreement between the North Carolina Community College System and the </w:t>
      </w:r>
      <w:r w:rsidR="00CF420C" w:rsidRPr="0041739D">
        <w:rPr>
          <w:rFonts w:ascii="Times New Roman" w:eastAsia="Times New Roman" w:hAnsi="Times New Roman" w:cs="Times New Roman"/>
          <w:sz w:val="24"/>
          <w:szCs w:val="24"/>
          <w:lang w:val="en"/>
        </w:rPr>
        <w:t xml:space="preserve">UNC General </w:t>
      </w:r>
      <w:r w:rsidR="00C7092D" w:rsidRPr="0041739D">
        <w:rPr>
          <w:rFonts w:ascii="Times New Roman" w:eastAsia="Times New Roman" w:hAnsi="Times New Roman" w:cs="Times New Roman"/>
          <w:sz w:val="24"/>
          <w:szCs w:val="24"/>
          <w:lang w:val="en"/>
        </w:rPr>
        <w:t>Administration which</w:t>
      </w:r>
      <w:r w:rsidR="00A74E15" w:rsidRPr="0041739D">
        <w:rPr>
          <w:rFonts w:ascii="Times New Roman" w:eastAsia="Times New Roman" w:hAnsi="Times New Roman" w:cs="Times New Roman"/>
          <w:sz w:val="24"/>
          <w:szCs w:val="24"/>
          <w:lang w:val="en"/>
        </w:rPr>
        <w:t xml:space="preserve"> becomes effective fall 2015. </w:t>
      </w:r>
      <w:r w:rsidRPr="0041739D">
        <w:rPr>
          <w:rFonts w:ascii="Times New Roman" w:eastAsia="Times New Roman" w:hAnsi="Times New Roman" w:cs="Times New Roman"/>
          <w:sz w:val="24"/>
          <w:szCs w:val="24"/>
          <w:lang w:val="en"/>
        </w:rPr>
        <w:t xml:space="preserve">The agreement of historical value, promises to decrease barriers through avoidance of duplicative coursework and expense. </w:t>
      </w:r>
      <w:r w:rsidR="00087896" w:rsidRPr="0041739D">
        <w:rPr>
          <w:rFonts w:ascii="Times New Roman" w:eastAsia="Times New Roman" w:hAnsi="Times New Roman" w:cs="Times New Roman"/>
          <w:sz w:val="24"/>
          <w:szCs w:val="24"/>
          <w:lang w:val="en"/>
        </w:rPr>
        <w:t>The agreement is also contributing to collaborative pathway and shared curriculum initiatives in schools of nursing across the state.</w:t>
      </w:r>
    </w:p>
    <w:p w14:paraId="25C5E5FD" w14:textId="0705B30B" w:rsidR="00CF420C" w:rsidRPr="0041739D" w:rsidRDefault="00F84A62" w:rsidP="00F84A62">
      <w:pPr>
        <w:pStyle w:val="ListParagraph"/>
        <w:numPr>
          <w:ilvl w:val="0"/>
          <w:numId w:val="2"/>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The success of the RIBN BSN pathway option has prompted additional exploration of interest and feasibility of </w:t>
      </w:r>
      <w:r w:rsidR="00C7092D" w:rsidRPr="0041739D">
        <w:rPr>
          <w:rFonts w:ascii="Times New Roman" w:eastAsia="Times New Roman" w:hAnsi="Times New Roman" w:cs="Times New Roman"/>
          <w:sz w:val="24"/>
          <w:szCs w:val="24"/>
          <w:lang w:val="en"/>
        </w:rPr>
        <w:t>a LPN</w:t>
      </w:r>
      <w:r w:rsidRPr="0041739D">
        <w:rPr>
          <w:rFonts w:ascii="Times New Roman" w:eastAsia="Times New Roman" w:hAnsi="Times New Roman" w:cs="Times New Roman"/>
          <w:sz w:val="24"/>
          <w:szCs w:val="24"/>
          <w:lang w:val="en"/>
        </w:rPr>
        <w:t xml:space="preserve"> to BSN pathway. Through a survey of over 19,000 N</w:t>
      </w:r>
      <w:r w:rsidR="00A74E15" w:rsidRPr="0041739D">
        <w:rPr>
          <w:rFonts w:ascii="Times New Roman" w:eastAsia="Times New Roman" w:hAnsi="Times New Roman" w:cs="Times New Roman"/>
          <w:sz w:val="24"/>
          <w:szCs w:val="24"/>
          <w:lang w:val="en"/>
        </w:rPr>
        <w:t xml:space="preserve">orth </w:t>
      </w:r>
      <w:r w:rsidRPr="0041739D">
        <w:rPr>
          <w:rFonts w:ascii="Times New Roman" w:eastAsia="Times New Roman" w:hAnsi="Times New Roman" w:cs="Times New Roman"/>
          <w:sz w:val="24"/>
          <w:szCs w:val="24"/>
          <w:lang w:val="en"/>
        </w:rPr>
        <w:t>C</w:t>
      </w:r>
      <w:r w:rsidR="00A74E15" w:rsidRPr="0041739D">
        <w:rPr>
          <w:rFonts w:ascii="Times New Roman" w:eastAsia="Times New Roman" w:hAnsi="Times New Roman" w:cs="Times New Roman"/>
          <w:sz w:val="24"/>
          <w:szCs w:val="24"/>
          <w:lang w:val="en"/>
        </w:rPr>
        <w:t>arolina</w:t>
      </w:r>
      <w:r w:rsidRPr="0041739D">
        <w:rPr>
          <w:rFonts w:ascii="Times New Roman" w:eastAsia="Times New Roman" w:hAnsi="Times New Roman" w:cs="Times New Roman"/>
          <w:sz w:val="24"/>
          <w:szCs w:val="24"/>
          <w:lang w:val="en"/>
        </w:rPr>
        <w:t xml:space="preserve"> LPN’s, responses by 3,800 validated interest and provided valuable input to initiative le</w:t>
      </w:r>
      <w:r w:rsidR="00A74E15" w:rsidRPr="0041739D">
        <w:rPr>
          <w:rFonts w:ascii="Times New Roman" w:eastAsia="Times New Roman" w:hAnsi="Times New Roman" w:cs="Times New Roman"/>
          <w:sz w:val="24"/>
          <w:szCs w:val="24"/>
          <w:lang w:val="en"/>
        </w:rPr>
        <w:t xml:space="preserve">aders. </w:t>
      </w:r>
      <w:r w:rsidRPr="0041739D">
        <w:rPr>
          <w:rFonts w:ascii="Times New Roman" w:eastAsia="Times New Roman" w:hAnsi="Times New Roman" w:cs="Times New Roman"/>
          <w:sz w:val="24"/>
          <w:szCs w:val="24"/>
          <w:lang w:val="en"/>
        </w:rPr>
        <w:t xml:space="preserve">Survey analysis is underway. </w:t>
      </w:r>
    </w:p>
    <w:p w14:paraId="448B17DE" w14:textId="58BE1603" w:rsidR="00026E43" w:rsidRPr="0041739D" w:rsidRDefault="00026E43" w:rsidP="00F84A62">
      <w:pPr>
        <w:pStyle w:val="ListParagraph"/>
        <w:numPr>
          <w:ilvl w:val="0"/>
          <w:numId w:val="2"/>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Increasing the diversity of the nursing workforce is now a statewi</w:t>
      </w:r>
      <w:r w:rsidR="00A74E15" w:rsidRPr="0041739D">
        <w:rPr>
          <w:rFonts w:ascii="Times New Roman" w:eastAsia="Times New Roman" w:hAnsi="Times New Roman" w:cs="Times New Roman"/>
          <w:sz w:val="24"/>
          <w:szCs w:val="24"/>
          <w:lang w:val="en"/>
        </w:rPr>
        <w:t xml:space="preserve">de nursing education priority. </w:t>
      </w:r>
      <w:r w:rsidRPr="0041739D">
        <w:rPr>
          <w:rFonts w:ascii="Times New Roman" w:eastAsia="Times New Roman" w:hAnsi="Times New Roman" w:cs="Times New Roman"/>
          <w:sz w:val="24"/>
          <w:szCs w:val="24"/>
          <w:lang w:val="en"/>
        </w:rPr>
        <w:t xml:space="preserve">Many community college and university nursing education programs across North Carolina are diligently working to increase </w:t>
      </w:r>
      <w:r w:rsidR="00CA3591" w:rsidRPr="0041739D">
        <w:rPr>
          <w:rFonts w:ascii="Times New Roman" w:eastAsia="Times New Roman" w:hAnsi="Times New Roman" w:cs="Times New Roman"/>
          <w:sz w:val="24"/>
          <w:szCs w:val="24"/>
          <w:lang w:val="en"/>
        </w:rPr>
        <w:t xml:space="preserve">nursing student </w:t>
      </w:r>
      <w:r w:rsidRPr="0041739D">
        <w:rPr>
          <w:rFonts w:ascii="Times New Roman" w:eastAsia="Times New Roman" w:hAnsi="Times New Roman" w:cs="Times New Roman"/>
          <w:sz w:val="24"/>
          <w:szCs w:val="24"/>
          <w:lang w:val="en"/>
        </w:rPr>
        <w:t xml:space="preserve">diversity through targeted recruitment and retention initiatives. </w:t>
      </w:r>
      <w:r w:rsidR="00CA3591" w:rsidRPr="0041739D">
        <w:rPr>
          <w:rFonts w:ascii="Times New Roman" w:eastAsia="Times New Roman" w:hAnsi="Times New Roman" w:cs="Times New Roman"/>
          <w:sz w:val="24"/>
          <w:szCs w:val="24"/>
          <w:lang w:val="en"/>
        </w:rPr>
        <w:t>Given the great variation of regional diversity demographics across N</w:t>
      </w:r>
      <w:r w:rsidR="00A74E15" w:rsidRPr="0041739D">
        <w:rPr>
          <w:rFonts w:ascii="Times New Roman" w:eastAsia="Times New Roman" w:hAnsi="Times New Roman" w:cs="Times New Roman"/>
          <w:sz w:val="24"/>
          <w:szCs w:val="24"/>
          <w:lang w:val="en"/>
        </w:rPr>
        <w:t xml:space="preserve">orth </w:t>
      </w:r>
      <w:r w:rsidR="00CA3591" w:rsidRPr="0041739D">
        <w:rPr>
          <w:rFonts w:ascii="Times New Roman" w:eastAsia="Times New Roman" w:hAnsi="Times New Roman" w:cs="Times New Roman"/>
          <w:sz w:val="24"/>
          <w:szCs w:val="24"/>
          <w:lang w:val="en"/>
        </w:rPr>
        <w:t>C</w:t>
      </w:r>
      <w:r w:rsidR="00A74E15" w:rsidRPr="0041739D">
        <w:rPr>
          <w:rFonts w:ascii="Times New Roman" w:eastAsia="Times New Roman" w:hAnsi="Times New Roman" w:cs="Times New Roman"/>
          <w:sz w:val="24"/>
          <w:szCs w:val="24"/>
          <w:lang w:val="en"/>
        </w:rPr>
        <w:t>arolina</w:t>
      </w:r>
      <w:r w:rsidR="00CA3591" w:rsidRPr="0041739D">
        <w:rPr>
          <w:rFonts w:ascii="Times New Roman" w:eastAsia="Times New Roman" w:hAnsi="Times New Roman" w:cs="Times New Roman"/>
          <w:sz w:val="24"/>
          <w:szCs w:val="24"/>
          <w:lang w:val="en"/>
        </w:rPr>
        <w:t xml:space="preserve">, </w:t>
      </w:r>
      <w:r w:rsidRPr="0041739D">
        <w:rPr>
          <w:rFonts w:ascii="Times New Roman" w:eastAsia="Times New Roman" w:hAnsi="Times New Roman" w:cs="Times New Roman"/>
          <w:sz w:val="24"/>
          <w:szCs w:val="24"/>
          <w:lang w:val="en"/>
        </w:rPr>
        <w:t>RIBN has a</w:t>
      </w:r>
      <w:r w:rsidR="00CA3591" w:rsidRPr="0041739D">
        <w:rPr>
          <w:rFonts w:ascii="Times New Roman" w:eastAsia="Times New Roman" w:hAnsi="Times New Roman" w:cs="Times New Roman"/>
          <w:sz w:val="24"/>
          <w:szCs w:val="24"/>
          <w:lang w:val="en"/>
        </w:rPr>
        <w:t>n embedded</w:t>
      </w:r>
      <w:r w:rsidRPr="0041739D">
        <w:rPr>
          <w:rFonts w:ascii="Times New Roman" w:eastAsia="Times New Roman" w:hAnsi="Times New Roman" w:cs="Times New Roman"/>
          <w:sz w:val="24"/>
          <w:szCs w:val="24"/>
          <w:lang w:val="en"/>
        </w:rPr>
        <w:t xml:space="preserve"> diversity initi</w:t>
      </w:r>
      <w:r w:rsidR="00CA3591" w:rsidRPr="0041739D">
        <w:rPr>
          <w:rFonts w:ascii="Times New Roman" w:eastAsia="Times New Roman" w:hAnsi="Times New Roman" w:cs="Times New Roman"/>
          <w:sz w:val="24"/>
          <w:szCs w:val="24"/>
          <w:lang w:val="en"/>
        </w:rPr>
        <w:t>a</w:t>
      </w:r>
      <w:r w:rsidRPr="0041739D">
        <w:rPr>
          <w:rFonts w:ascii="Times New Roman" w:eastAsia="Times New Roman" w:hAnsi="Times New Roman" w:cs="Times New Roman"/>
          <w:sz w:val="24"/>
          <w:szCs w:val="24"/>
          <w:lang w:val="en"/>
        </w:rPr>
        <w:t>t</w:t>
      </w:r>
      <w:r w:rsidR="00CA3591" w:rsidRPr="0041739D">
        <w:rPr>
          <w:rFonts w:ascii="Times New Roman" w:eastAsia="Times New Roman" w:hAnsi="Times New Roman" w:cs="Times New Roman"/>
          <w:sz w:val="24"/>
          <w:szCs w:val="24"/>
          <w:lang w:val="en"/>
        </w:rPr>
        <w:t>ive which seeks to better align RIBN student enrollment regional</w:t>
      </w:r>
      <w:r w:rsidR="00A74E15" w:rsidRPr="0041739D">
        <w:rPr>
          <w:rFonts w:ascii="Times New Roman" w:eastAsia="Times New Roman" w:hAnsi="Times New Roman" w:cs="Times New Roman"/>
          <w:sz w:val="24"/>
          <w:szCs w:val="24"/>
          <w:lang w:val="en"/>
        </w:rPr>
        <w:t xml:space="preserve">ly with regional demographics. </w:t>
      </w:r>
      <w:r w:rsidR="00CA3591" w:rsidRPr="0041739D">
        <w:rPr>
          <w:rFonts w:ascii="Times New Roman" w:eastAsia="Times New Roman" w:hAnsi="Times New Roman" w:cs="Times New Roman"/>
          <w:sz w:val="24"/>
          <w:szCs w:val="24"/>
          <w:lang w:val="en"/>
        </w:rPr>
        <w:t>Diversity nursing student enrollment, a precursor to moving th</w:t>
      </w:r>
      <w:r w:rsidR="00A74E15" w:rsidRPr="0041739D">
        <w:rPr>
          <w:rFonts w:ascii="Times New Roman" w:eastAsia="Times New Roman" w:hAnsi="Times New Roman" w:cs="Times New Roman"/>
          <w:sz w:val="24"/>
          <w:szCs w:val="24"/>
          <w:lang w:val="en"/>
        </w:rPr>
        <w:t xml:space="preserve">e diversity workforce needle, </w:t>
      </w:r>
      <w:r w:rsidR="00CA3591" w:rsidRPr="0041739D">
        <w:rPr>
          <w:rFonts w:ascii="Times New Roman" w:eastAsia="Times New Roman" w:hAnsi="Times New Roman" w:cs="Times New Roman"/>
          <w:sz w:val="24"/>
          <w:szCs w:val="24"/>
          <w:lang w:val="en"/>
        </w:rPr>
        <w:t xml:space="preserve">is trending in a favorable fashion and will slowly impact nursing workforce demographics in the future.  </w:t>
      </w:r>
    </w:p>
    <w:p w14:paraId="144F9C27" w14:textId="516B6B43" w:rsidR="00CA3591" w:rsidRPr="0041739D" w:rsidRDefault="008D1830" w:rsidP="00CA3591">
      <w:pPr>
        <w:pStyle w:val="ListParagraph"/>
        <w:numPr>
          <w:ilvl w:val="0"/>
          <w:numId w:val="2"/>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Practice settings across N</w:t>
      </w:r>
      <w:r w:rsidR="00A74E15" w:rsidRPr="0041739D">
        <w:rPr>
          <w:rFonts w:ascii="Times New Roman" w:eastAsia="Times New Roman" w:hAnsi="Times New Roman" w:cs="Times New Roman"/>
          <w:sz w:val="24"/>
          <w:szCs w:val="24"/>
          <w:lang w:val="en"/>
        </w:rPr>
        <w:t xml:space="preserve">orth </w:t>
      </w:r>
      <w:r w:rsidRPr="0041739D">
        <w:rPr>
          <w:rFonts w:ascii="Times New Roman" w:eastAsia="Times New Roman" w:hAnsi="Times New Roman" w:cs="Times New Roman"/>
          <w:sz w:val="24"/>
          <w:szCs w:val="24"/>
          <w:lang w:val="en"/>
        </w:rPr>
        <w:t>C</w:t>
      </w:r>
      <w:r w:rsidR="00A74E15" w:rsidRPr="0041739D">
        <w:rPr>
          <w:rFonts w:ascii="Times New Roman" w:eastAsia="Times New Roman" w:hAnsi="Times New Roman" w:cs="Times New Roman"/>
          <w:sz w:val="24"/>
          <w:szCs w:val="24"/>
          <w:lang w:val="en"/>
        </w:rPr>
        <w:t>arolina</w:t>
      </w:r>
      <w:r w:rsidRPr="0041739D">
        <w:rPr>
          <w:rFonts w:ascii="Times New Roman" w:eastAsia="Times New Roman" w:hAnsi="Times New Roman" w:cs="Times New Roman"/>
          <w:sz w:val="24"/>
          <w:szCs w:val="24"/>
          <w:lang w:val="en"/>
        </w:rPr>
        <w:t xml:space="preserve">, following the IOM report, are demonstrating the value of BSN and higher education in their nursing workforces through </w:t>
      </w:r>
      <w:r w:rsidR="00F15699" w:rsidRPr="0041739D">
        <w:rPr>
          <w:rFonts w:ascii="Times New Roman" w:eastAsia="Times New Roman" w:hAnsi="Times New Roman" w:cs="Times New Roman"/>
          <w:sz w:val="24"/>
          <w:szCs w:val="24"/>
          <w:lang w:val="en"/>
        </w:rPr>
        <w:t xml:space="preserve">changes in </w:t>
      </w:r>
      <w:r w:rsidRPr="0041739D">
        <w:rPr>
          <w:rFonts w:ascii="Times New Roman" w:eastAsia="Times New Roman" w:hAnsi="Times New Roman" w:cs="Times New Roman"/>
          <w:sz w:val="24"/>
          <w:szCs w:val="24"/>
          <w:lang w:val="en"/>
        </w:rPr>
        <w:t xml:space="preserve">employment policies and practices. An annual Chief Nursing Officer (CNO) survey </w:t>
      </w:r>
      <w:r w:rsidRPr="0041739D">
        <w:rPr>
          <w:rFonts w:ascii="Times New Roman" w:eastAsia="Times New Roman" w:hAnsi="Times New Roman" w:cs="Times New Roman"/>
          <w:sz w:val="24"/>
          <w:szCs w:val="24"/>
          <w:lang w:val="en"/>
        </w:rPr>
        <w:lastRenderedPageBreak/>
        <w:t xml:space="preserve">across a 3 year period demonstrates an increasing number of practice settings </w:t>
      </w:r>
      <w:r w:rsidR="0047440D" w:rsidRPr="0041739D">
        <w:rPr>
          <w:rFonts w:ascii="Times New Roman" w:eastAsia="Times New Roman" w:hAnsi="Times New Roman" w:cs="Times New Roman"/>
          <w:sz w:val="24"/>
          <w:szCs w:val="24"/>
          <w:lang w:val="en"/>
        </w:rPr>
        <w:t>have established the</w:t>
      </w:r>
      <w:r w:rsidRPr="0041739D">
        <w:rPr>
          <w:rFonts w:ascii="Times New Roman" w:eastAsia="Times New Roman" w:hAnsi="Times New Roman" w:cs="Times New Roman"/>
          <w:sz w:val="24"/>
          <w:szCs w:val="24"/>
          <w:lang w:val="en"/>
        </w:rPr>
        <w:t xml:space="preserve"> goal of meeting the 2025 (goal for NC) </w:t>
      </w:r>
      <w:r w:rsidR="0047440D" w:rsidRPr="0041739D">
        <w:rPr>
          <w:rFonts w:ascii="Times New Roman" w:eastAsia="Times New Roman" w:hAnsi="Times New Roman" w:cs="Times New Roman"/>
          <w:sz w:val="24"/>
          <w:szCs w:val="24"/>
          <w:lang w:val="en"/>
        </w:rPr>
        <w:t>for an 80% BSN or hig</w:t>
      </w:r>
      <w:r w:rsidR="00F15699" w:rsidRPr="0041739D">
        <w:rPr>
          <w:rFonts w:ascii="Times New Roman" w:eastAsia="Times New Roman" w:hAnsi="Times New Roman" w:cs="Times New Roman"/>
          <w:sz w:val="24"/>
          <w:szCs w:val="24"/>
          <w:lang w:val="en"/>
        </w:rPr>
        <w:t xml:space="preserve">her degree workforce and are making significant progress. </w:t>
      </w:r>
      <w:r w:rsidR="0047440D" w:rsidRPr="0041739D">
        <w:rPr>
          <w:rFonts w:ascii="Times New Roman" w:eastAsia="Times New Roman" w:hAnsi="Times New Roman" w:cs="Times New Roman"/>
          <w:sz w:val="24"/>
          <w:szCs w:val="24"/>
          <w:lang w:val="en"/>
        </w:rPr>
        <w:t xml:space="preserve">Preferential </w:t>
      </w:r>
      <w:r w:rsidRPr="0041739D">
        <w:rPr>
          <w:rFonts w:ascii="Times New Roman" w:eastAsia="Times New Roman" w:hAnsi="Times New Roman" w:cs="Times New Roman"/>
          <w:sz w:val="24"/>
          <w:szCs w:val="24"/>
          <w:lang w:val="en"/>
        </w:rPr>
        <w:t>hiring and promotion of BSN and higher degree nurses</w:t>
      </w:r>
      <w:r w:rsidR="0047440D" w:rsidRPr="0041739D">
        <w:rPr>
          <w:rFonts w:ascii="Times New Roman" w:eastAsia="Times New Roman" w:hAnsi="Times New Roman" w:cs="Times New Roman"/>
          <w:sz w:val="24"/>
          <w:szCs w:val="24"/>
          <w:lang w:val="en"/>
        </w:rPr>
        <w:t xml:space="preserve"> and tuition support </w:t>
      </w:r>
      <w:r w:rsidRPr="0041739D">
        <w:rPr>
          <w:rFonts w:ascii="Times New Roman" w:eastAsia="Times New Roman" w:hAnsi="Times New Roman" w:cs="Times New Roman"/>
          <w:sz w:val="24"/>
          <w:szCs w:val="24"/>
          <w:lang w:val="en"/>
        </w:rPr>
        <w:t xml:space="preserve">has new graduate and incumbent workforce nurses returning to school in record numbers. </w:t>
      </w:r>
    </w:p>
    <w:p w14:paraId="3414DF78" w14:textId="72925326" w:rsidR="005538B8" w:rsidRPr="0041739D" w:rsidRDefault="005538B8" w:rsidP="00F26D69">
      <w:pPr>
        <w:spacing w:before="60" w:after="0" w:line="240" w:lineRule="auto"/>
        <w:rPr>
          <w:rFonts w:ascii="Times New Roman" w:eastAsia="Times New Roman" w:hAnsi="Times New Roman" w:cs="Times New Roman"/>
          <w:b/>
          <w:sz w:val="24"/>
          <w:szCs w:val="24"/>
          <w:u w:val="single"/>
          <w:lang w:val="en"/>
        </w:rPr>
      </w:pPr>
      <w:r w:rsidRPr="0041739D">
        <w:rPr>
          <w:rFonts w:ascii="Times New Roman" w:eastAsia="Times New Roman" w:hAnsi="Times New Roman" w:cs="Times New Roman"/>
          <w:b/>
          <w:sz w:val="24"/>
          <w:szCs w:val="24"/>
          <w:u w:val="single"/>
          <w:lang w:val="en"/>
        </w:rPr>
        <w:t xml:space="preserve">Prepare and </w:t>
      </w:r>
      <w:r w:rsidR="00087896" w:rsidRPr="0041739D">
        <w:rPr>
          <w:rFonts w:ascii="Times New Roman" w:eastAsia="Times New Roman" w:hAnsi="Times New Roman" w:cs="Times New Roman"/>
          <w:b/>
          <w:sz w:val="24"/>
          <w:szCs w:val="24"/>
          <w:u w:val="single"/>
          <w:lang w:val="en"/>
        </w:rPr>
        <w:t>E</w:t>
      </w:r>
      <w:r w:rsidRPr="0041739D">
        <w:rPr>
          <w:rFonts w:ascii="Times New Roman" w:eastAsia="Times New Roman" w:hAnsi="Times New Roman" w:cs="Times New Roman"/>
          <w:b/>
          <w:sz w:val="24"/>
          <w:szCs w:val="24"/>
          <w:u w:val="single"/>
          <w:lang w:val="en"/>
        </w:rPr>
        <w:t xml:space="preserve">nable </w:t>
      </w:r>
      <w:r w:rsidR="00087896" w:rsidRPr="0041739D">
        <w:rPr>
          <w:rFonts w:ascii="Times New Roman" w:eastAsia="Times New Roman" w:hAnsi="Times New Roman" w:cs="Times New Roman"/>
          <w:b/>
          <w:sz w:val="24"/>
          <w:szCs w:val="24"/>
          <w:u w:val="single"/>
          <w:lang w:val="en"/>
        </w:rPr>
        <w:t>N</w:t>
      </w:r>
      <w:r w:rsidRPr="0041739D">
        <w:rPr>
          <w:rFonts w:ascii="Times New Roman" w:eastAsia="Times New Roman" w:hAnsi="Times New Roman" w:cs="Times New Roman"/>
          <w:b/>
          <w:sz w:val="24"/>
          <w:szCs w:val="24"/>
          <w:u w:val="single"/>
          <w:lang w:val="en"/>
        </w:rPr>
        <w:t xml:space="preserve">urses to </w:t>
      </w:r>
      <w:r w:rsidR="00087896" w:rsidRPr="0041739D">
        <w:rPr>
          <w:rFonts w:ascii="Times New Roman" w:eastAsia="Times New Roman" w:hAnsi="Times New Roman" w:cs="Times New Roman"/>
          <w:b/>
          <w:sz w:val="24"/>
          <w:szCs w:val="24"/>
          <w:u w:val="single"/>
          <w:lang w:val="en"/>
        </w:rPr>
        <w:t>L</w:t>
      </w:r>
      <w:r w:rsidRPr="0041739D">
        <w:rPr>
          <w:rFonts w:ascii="Times New Roman" w:eastAsia="Times New Roman" w:hAnsi="Times New Roman" w:cs="Times New Roman"/>
          <w:b/>
          <w:sz w:val="24"/>
          <w:szCs w:val="24"/>
          <w:u w:val="single"/>
          <w:lang w:val="en"/>
        </w:rPr>
        <w:t xml:space="preserve">ead </w:t>
      </w:r>
      <w:r w:rsidR="00087896" w:rsidRPr="0041739D">
        <w:rPr>
          <w:rFonts w:ascii="Times New Roman" w:eastAsia="Times New Roman" w:hAnsi="Times New Roman" w:cs="Times New Roman"/>
          <w:b/>
          <w:sz w:val="24"/>
          <w:szCs w:val="24"/>
          <w:u w:val="single"/>
          <w:lang w:val="en"/>
        </w:rPr>
        <w:t>Change to A</w:t>
      </w:r>
      <w:r w:rsidRPr="0041739D">
        <w:rPr>
          <w:rFonts w:ascii="Times New Roman" w:eastAsia="Times New Roman" w:hAnsi="Times New Roman" w:cs="Times New Roman"/>
          <w:b/>
          <w:sz w:val="24"/>
          <w:szCs w:val="24"/>
          <w:u w:val="single"/>
          <w:lang w:val="en"/>
        </w:rPr>
        <w:t xml:space="preserve">dvance </w:t>
      </w:r>
      <w:r w:rsidR="00087896" w:rsidRPr="0041739D">
        <w:rPr>
          <w:rFonts w:ascii="Times New Roman" w:eastAsia="Times New Roman" w:hAnsi="Times New Roman" w:cs="Times New Roman"/>
          <w:b/>
          <w:sz w:val="24"/>
          <w:szCs w:val="24"/>
          <w:u w:val="single"/>
          <w:lang w:val="en"/>
        </w:rPr>
        <w:t>H</w:t>
      </w:r>
      <w:r w:rsidRPr="0041739D">
        <w:rPr>
          <w:rFonts w:ascii="Times New Roman" w:eastAsia="Times New Roman" w:hAnsi="Times New Roman" w:cs="Times New Roman"/>
          <w:b/>
          <w:sz w:val="24"/>
          <w:szCs w:val="24"/>
          <w:u w:val="single"/>
          <w:lang w:val="en"/>
        </w:rPr>
        <w:t xml:space="preserve">ealth </w:t>
      </w:r>
    </w:p>
    <w:p w14:paraId="15B763E3" w14:textId="04AE3B99" w:rsidR="008F778E" w:rsidRPr="0041739D" w:rsidRDefault="00CA3591"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R</w:t>
      </w:r>
      <w:r w:rsidR="008F778E" w:rsidRPr="0041739D">
        <w:rPr>
          <w:rFonts w:ascii="Times New Roman" w:eastAsia="Times New Roman" w:hAnsi="Times New Roman" w:cs="Times New Roman"/>
          <w:sz w:val="24"/>
          <w:szCs w:val="24"/>
          <w:lang w:val="en"/>
        </w:rPr>
        <w:t>etired nurses</w:t>
      </w:r>
      <w:r w:rsidRPr="0041739D">
        <w:rPr>
          <w:rFonts w:ascii="Times New Roman" w:eastAsia="Times New Roman" w:hAnsi="Times New Roman" w:cs="Times New Roman"/>
          <w:sz w:val="24"/>
          <w:szCs w:val="24"/>
          <w:lang w:val="en"/>
        </w:rPr>
        <w:t xml:space="preserve"> have been recruited</w:t>
      </w:r>
      <w:r w:rsidR="008F778E" w:rsidRPr="0041739D">
        <w:rPr>
          <w:rFonts w:ascii="Times New Roman" w:eastAsia="Times New Roman" w:hAnsi="Times New Roman" w:cs="Times New Roman"/>
          <w:sz w:val="24"/>
          <w:szCs w:val="24"/>
          <w:lang w:val="en"/>
        </w:rPr>
        <w:t xml:space="preserve"> to learn the process for appointments to </w:t>
      </w:r>
      <w:r w:rsidR="008F5CE2" w:rsidRPr="0041739D">
        <w:rPr>
          <w:rFonts w:ascii="Times New Roman" w:eastAsia="Times New Roman" w:hAnsi="Times New Roman" w:cs="Times New Roman"/>
          <w:sz w:val="24"/>
          <w:szCs w:val="24"/>
          <w:lang w:val="en"/>
        </w:rPr>
        <w:t xml:space="preserve">targeted </w:t>
      </w:r>
      <w:r w:rsidR="008F778E" w:rsidRPr="0041739D">
        <w:rPr>
          <w:rFonts w:ascii="Times New Roman" w:eastAsia="Times New Roman" w:hAnsi="Times New Roman" w:cs="Times New Roman"/>
          <w:sz w:val="24"/>
          <w:szCs w:val="24"/>
          <w:lang w:val="en"/>
        </w:rPr>
        <w:t xml:space="preserve">hospital </w:t>
      </w:r>
      <w:r w:rsidR="00913B56" w:rsidRPr="0041739D">
        <w:rPr>
          <w:rFonts w:ascii="Times New Roman" w:eastAsia="Times New Roman" w:hAnsi="Times New Roman" w:cs="Times New Roman"/>
          <w:sz w:val="24"/>
          <w:szCs w:val="24"/>
          <w:lang w:val="en"/>
        </w:rPr>
        <w:t>and continuing care</w:t>
      </w:r>
      <w:r w:rsidR="00A74E15" w:rsidRPr="0041739D">
        <w:rPr>
          <w:rFonts w:ascii="Times New Roman" w:eastAsia="Times New Roman" w:hAnsi="Times New Roman" w:cs="Times New Roman"/>
          <w:sz w:val="24"/>
          <w:szCs w:val="24"/>
          <w:lang w:val="en"/>
        </w:rPr>
        <w:t xml:space="preserve"> retirement community boards. </w:t>
      </w:r>
      <w:r w:rsidR="00C24537" w:rsidRPr="0041739D">
        <w:rPr>
          <w:rFonts w:ascii="Times New Roman" w:eastAsia="Times New Roman" w:hAnsi="Times New Roman" w:cs="Times New Roman"/>
          <w:sz w:val="24"/>
          <w:szCs w:val="24"/>
          <w:lang w:val="en"/>
        </w:rPr>
        <w:t>I</w:t>
      </w:r>
      <w:r w:rsidR="00913B56" w:rsidRPr="0041739D">
        <w:rPr>
          <w:rFonts w:ascii="Times New Roman" w:eastAsia="Times New Roman" w:hAnsi="Times New Roman" w:cs="Times New Roman"/>
          <w:sz w:val="24"/>
          <w:szCs w:val="24"/>
          <w:lang w:val="en"/>
        </w:rPr>
        <w:t>n 2010, nurse executive members of the N</w:t>
      </w:r>
      <w:r w:rsidR="00A74E15" w:rsidRPr="0041739D">
        <w:rPr>
          <w:rFonts w:ascii="Times New Roman" w:eastAsia="Times New Roman" w:hAnsi="Times New Roman" w:cs="Times New Roman"/>
          <w:sz w:val="24"/>
          <w:szCs w:val="24"/>
          <w:lang w:val="en"/>
        </w:rPr>
        <w:t xml:space="preserve">orth </w:t>
      </w:r>
      <w:r w:rsidR="00913B56" w:rsidRPr="0041739D">
        <w:rPr>
          <w:rFonts w:ascii="Times New Roman" w:eastAsia="Times New Roman" w:hAnsi="Times New Roman" w:cs="Times New Roman"/>
          <w:sz w:val="24"/>
          <w:szCs w:val="24"/>
          <w:lang w:val="en"/>
        </w:rPr>
        <w:t>C</w:t>
      </w:r>
      <w:r w:rsidR="00A74E15" w:rsidRPr="0041739D">
        <w:rPr>
          <w:rFonts w:ascii="Times New Roman" w:eastAsia="Times New Roman" w:hAnsi="Times New Roman" w:cs="Times New Roman"/>
          <w:sz w:val="24"/>
          <w:szCs w:val="24"/>
          <w:lang w:val="en"/>
        </w:rPr>
        <w:t>arolina</w:t>
      </w:r>
      <w:r w:rsidR="00913B56" w:rsidRPr="0041739D">
        <w:rPr>
          <w:rFonts w:ascii="Times New Roman" w:eastAsia="Times New Roman" w:hAnsi="Times New Roman" w:cs="Times New Roman"/>
          <w:sz w:val="24"/>
          <w:szCs w:val="24"/>
          <w:lang w:val="en"/>
        </w:rPr>
        <w:t xml:space="preserve"> Organization of Nurse Leaders were surveyed to learn if their hospital boards had a nurse board member. Doris Esslinger and Connie Mullinix determined that less than 20% of boards surveyed </w:t>
      </w:r>
      <w:r w:rsidR="008F5CE2" w:rsidRPr="0041739D">
        <w:rPr>
          <w:rFonts w:ascii="Times New Roman" w:eastAsia="Times New Roman" w:hAnsi="Times New Roman" w:cs="Times New Roman"/>
          <w:sz w:val="24"/>
          <w:szCs w:val="24"/>
          <w:lang w:val="en"/>
        </w:rPr>
        <w:t>had nurse members. Since that survey, t</w:t>
      </w:r>
      <w:r w:rsidR="00913B56" w:rsidRPr="0041739D">
        <w:rPr>
          <w:rFonts w:ascii="Times New Roman" w:eastAsia="Times New Roman" w:hAnsi="Times New Roman" w:cs="Times New Roman"/>
          <w:sz w:val="24"/>
          <w:szCs w:val="24"/>
          <w:lang w:val="en"/>
        </w:rPr>
        <w:t>wo nurses have been added t</w:t>
      </w:r>
      <w:r w:rsidR="003862A2">
        <w:rPr>
          <w:rFonts w:ascii="Times New Roman" w:eastAsia="Times New Roman" w:hAnsi="Times New Roman" w:cs="Times New Roman"/>
          <w:sz w:val="24"/>
          <w:szCs w:val="24"/>
          <w:lang w:val="en"/>
        </w:rPr>
        <w:t xml:space="preserve">o hospital boards, </w:t>
      </w:r>
      <w:r w:rsidR="00BD531D">
        <w:rPr>
          <w:rFonts w:ascii="Times New Roman" w:eastAsia="Times New Roman" w:hAnsi="Times New Roman" w:cs="Times New Roman"/>
          <w:sz w:val="24"/>
          <w:szCs w:val="24"/>
          <w:lang w:val="en"/>
        </w:rPr>
        <w:t xml:space="preserve">one to </w:t>
      </w:r>
      <w:r w:rsidR="00C463D0">
        <w:rPr>
          <w:rFonts w:ascii="Times New Roman" w:eastAsia="Times New Roman" w:hAnsi="Times New Roman" w:cs="Times New Roman"/>
          <w:strike/>
          <w:sz w:val="24"/>
          <w:szCs w:val="24"/>
          <w:lang w:val="en"/>
        </w:rPr>
        <w:t>a</w:t>
      </w:r>
      <w:r w:rsidR="00727583" w:rsidRPr="00727583">
        <w:rPr>
          <w:rFonts w:ascii="Times New Roman" w:eastAsia="Times New Roman" w:hAnsi="Times New Roman" w:cs="Times New Roman"/>
          <w:color w:val="FF0000"/>
          <w:sz w:val="24"/>
          <w:szCs w:val="24"/>
          <w:lang w:val="en"/>
        </w:rPr>
        <w:t xml:space="preserve"> </w:t>
      </w:r>
      <w:r w:rsidR="003862A2" w:rsidRPr="00BD531D">
        <w:rPr>
          <w:rFonts w:ascii="Times New Roman" w:eastAsia="Times New Roman" w:hAnsi="Times New Roman" w:cs="Times New Roman"/>
          <w:sz w:val="24"/>
          <w:szCs w:val="24"/>
          <w:lang w:val="en"/>
        </w:rPr>
        <w:t xml:space="preserve">major medical center Board </w:t>
      </w:r>
      <w:r w:rsidR="00913B56" w:rsidRPr="0041739D">
        <w:rPr>
          <w:rFonts w:ascii="Times New Roman" w:eastAsia="Times New Roman" w:hAnsi="Times New Roman" w:cs="Times New Roman"/>
          <w:sz w:val="24"/>
          <w:szCs w:val="24"/>
          <w:lang w:val="en"/>
        </w:rPr>
        <w:t>(Polly Johnson at Vidant</w:t>
      </w:r>
      <w:r w:rsidR="00BD531D">
        <w:rPr>
          <w:rFonts w:ascii="Times New Roman" w:eastAsia="Times New Roman" w:hAnsi="Times New Roman" w:cs="Times New Roman"/>
          <w:sz w:val="24"/>
          <w:szCs w:val="24"/>
          <w:lang w:val="en"/>
        </w:rPr>
        <w:t xml:space="preserve"> Health</w:t>
      </w:r>
      <w:r w:rsidR="00913B56" w:rsidRPr="0041739D">
        <w:rPr>
          <w:rFonts w:ascii="Times New Roman" w:eastAsia="Times New Roman" w:hAnsi="Times New Roman" w:cs="Times New Roman"/>
          <w:sz w:val="24"/>
          <w:szCs w:val="24"/>
          <w:lang w:val="en"/>
        </w:rPr>
        <w:t>) and one in a community hospital (Karen Krupa at Beaufort</w:t>
      </w:r>
      <w:r w:rsidR="00FC0503" w:rsidRPr="0041739D">
        <w:rPr>
          <w:rFonts w:ascii="Times New Roman" w:eastAsia="Times New Roman" w:hAnsi="Times New Roman" w:cs="Times New Roman"/>
          <w:sz w:val="24"/>
          <w:szCs w:val="24"/>
          <w:lang w:val="en"/>
        </w:rPr>
        <w:t xml:space="preserve"> County Hospital</w:t>
      </w:r>
      <w:r w:rsidR="00913B56" w:rsidRPr="0041739D">
        <w:rPr>
          <w:rFonts w:ascii="Times New Roman" w:eastAsia="Times New Roman" w:hAnsi="Times New Roman" w:cs="Times New Roman"/>
          <w:sz w:val="24"/>
          <w:szCs w:val="24"/>
          <w:lang w:val="en"/>
        </w:rPr>
        <w:t>)</w:t>
      </w:r>
      <w:r w:rsidR="00C24537" w:rsidRPr="0041739D">
        <w:rPr>
          <w:rFonts w:ascii="Times New Roman" w:eastAsia="Times New Roman" w:hAnsi="Times New Roman" w:cs="Times New Roman"/>
          <w:sz w:val="24"/>
          <w:szCs w:val="24"/>
          <w:lang w:val="en"/>
        </w:rPr>
        <w:t xml:space="preserve">. </w:t>
      </w:r>
      <w:r w:rsidR="008F5CE2" w:rsidRPr="0041739D">
        <w:rPr>
          <w:rFonts w:ascii="Times New Roman" w:eastAsia="Times New Roman" w:hAnsi="Times New Roman" w:cs="Times New Roman"/>
          <w:sz w:val="24"/>
          <w:szCs w:val="24"/>
          <w:lang w:val="en"/>
        </w:rPr>
        <w:t>The</w:t>
      </w:r>
      <w:r w:rsidR="00913B56" w:rsidRPr="0041739D">
        <w:rPr>
          <w:rFonts w:ascii="Times New Roman" w:eastAsia="Times New Roman" w:hAnsi="Times New Roman" w:cs="Times New Roman"/>
          <w:sz w:val="24"/>
          <w:szCs w:val="24"/>
          <w:lang w:val="en"/>
        </w:rPr>
        <w:t xml:space="preserve"> effort </w:t>
      </w:r>
      <w:r w:rsidR="008F5CE2" w:rsidRPr="0041739D">
        <w:rPr>
          <w:rFonts w:ascii="Times New Roman" w:eastAsia="Times New Roman" w:hAnsi="Times New Roman" w:cs="Times New Roman"/>
          <w:sz w:val="24"/>
          <w:szCs w:val="24"/>
          <w:lang w:val="en"/>
        </w:rPr>
        <w:t xml:space="preserve">to place nurses on boards </w:t>
      </w:r>
      <w:r w:rsidR="00913B56" w:rsidRPr="0041739D">
        <w:rPr>
          <w:rFonts w:ascii="Times New Roman" w:eastAsia="Times New Roman" w:hAnsi="Times New Roman" w:cs="Times New Roman"/>
          <w:sz w:val="24"/>
          <w:szCs w:val="24"/>
          <w:lang w:val="en"/>
        </w:rPr>
        <w:t>is ongoing.</w:t>
      </w:r>
    </w:p>
    <w:p w14:paraId="25906116" w14:textId="02FEA4C3" w:rsidR="008F5CE2" w:rsidRPr="0041739D" w:rsidRDefault="007E0D13"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We have supported and advertised the Leadership Development programs </w:t>
      </w:r>
      <w:r w:rsidR="00C24537" w:rsidRPr="0041739D">
        <w:rPr>
          <w:rFonts w:ascii="Times New Roman" w:eastAsia="Times New Roman" w:hAnsi="Times New Roman" w:cs="Times New Roman"/>
          <w:sz w:val="24"/>
          <w:szCs w:val="24"/>
          <w:lang w:val="en"/>
        </w:rPr>
        <w:t xml:space="preserve">designed by </w:t>
      </w:r>
      <w:r w:rsidRPr="0041739D">
        <w:rPr>
          <w:rFonts w:ascii="Times New Roman" w:eastAsia="Times New Roman" w:hAnsi="Times New Roman" w:cs="Times New Roman"/>
          <w:sz w:val="24"/>
          <w:szCs w:val="24"/>
          <w:lang w:val="en"/>
        </w:rPr>
        <w:t>the North Carolina Nurses Association in the formats of both the Leadership Academy and Lea</w:t>
      </w:r>
      <w:r w:rsidR="00A74E15" w:rsidRPr="0041739D">
        <w:rPr>
          <w:rFonts w:ascii="Times New Roman" w:eastAsia="Times New Roman" w:hAnsi="Times New Roman" w:cs="Times New Roman"/>
          <w:sz w:val="24"/>
          <w:szCs w:val="24"/>
          <w:lang w:val="en"/>
        </w:rPr>
        <w:t xml:space="preserve">dership Academy mini sessions. </w:t>
      </w:r>
      <w:r w:rsidRPr="0041739D">
        <w:rPr>
          <w:rFonts w:ascii="Times New Roman" w:eastAsia="Times New Roman" w:hAnsi="Times New Roman" w:cs="Times New Roman"/>
          <w:sz w:val="24"/>
          <w:szCs w:val="24"/>
          <w:lang w:val="en"/>
        </w:rPr>
        <w:t>State Action coalition members are also members of those organizations and have served as faculty and lecturers in the courses</w:t>
      </w:r>
      <w:r w:rsidR="006C0A53" w:rsidRPr="0041739D">
        <w:rPr>
          <w:rFonts w:ascii="Times New Roman" w:eastAsia="Times New Roman" w:hAnsi="Times New Roman" w:cs="Times New Roman"/>
          <w:sz w:val="24"/>
          <w:szCs w:val="24"/>
          <w:lang w:val="en"/>
        </w:rPr>
        <w:t xml:space="preserve"> (Connie Mullinix, AnnMarie Walto</w:t>
      </w:r>
      <w:r w:rsidR="00C24537" w:rsidRPr="0041739D">
        <w:rPr>
          <w:rFonts w:ascii="Times New Roman" w:eastAsia="Times New Roman" w:hAnsi="Times New Roman" w:cs="Times New Roman"/>
          <w:sz w:val="24"/>
          <w:szCs w:val="24"/>
          <w:lang w:val="en"/>
        </w:rPr>
        <w:t>n,</w:t>
      </w:r>
      <w:r w:rsidR="008F778E" w:rsidRPr="0041739D">
        <w:rPr>
          <w:rFonts w:ascii="Times New Roman" w:eastAsia="Times New Roman" w:hAnsi="Times New Roman" w:cs="Times New Roman"/>
          <w:sz w:val="24"/>
          <w:szCs w:val="24"/>
          <w:lang w:val="en"/>
        </w:rPr>
        <w:t xml:space="preserve"> Tina Gordon</w:t>
      </w:r>
      <w:r w:rsidR="003D4734" w:rsidRPr="0041739D">
        <w:rPr>
          <w:rFonts w:ascii="Times New Roman" w:eastAsia="Times New Roman" w:hAnsi="Times New Roman" w:cs="Times New Roman"/>
          <w:sz w:val="24"/>
          <w:szCs w:val="24"/>
          <w:lang w:val="en"/>
        </w:rPr>
        <w:t>, Doris Esslinger</w:t>
      </w:r>
      <w:r w:rsidR="006C0A53" w:rsidRPr="0041739D">
        <w:rPr>
          <w:rFonts w:ascii="Times New Roman" w:eastAsia="Times New Roman" w:hAnsi="Times New Roman" w:cs="Times New Roman"/>
          <w:sz w:val="24"/>
          <w:szCs w:val="24"/>
          <w:lang w:val="en"/>
        </w:rPr>
        <w:t>)</w:t>
      </w:r>
      <w:r w:rsidRPr="0041739D">
        <w:rPr>
          <w:rFonts w:ascii="Times New Roman" w:eastAsia="Times New Roman" w:hAnsi="Times New Roman" w:cs="Times New Roman"/>
          <w:sz w:val="24"/>
          <w:szCs w:val="24"/>
          <w:lang w:val="en"/>
        </w:rPr>
        <w:t>.</w:t>
      </w:r>
      <w:r w:rsidR="003D4734" w:rsidRPr="0041739D">
        <w:rPr>
          <w:rFonts w:ascii="Times New Roman" w:eastAsia="Times New Roman" w:hAnsi="Times New Roman" w:cs="Times New Roman"/>
          <w:sz w:val="24"/>
          <w:szCs w:val="24"/>
          <w:lang w:val="en"/>
        </w:rPr>
        <w:t xml:space="preserve"> </w:t>
      </w:r>
      <w:r w:rsidR="008F5CE2" w:rsidRPr="0041739D">
        <w:rPr>
          <w:rFonts w:ascii="Times New Roman" w:eastAsia="Times New Roman" w:hAnsi="Times New Roman" w:cs="Times New Roman"/>
          <w:sz w:val="24"/>
          <w:szCs w:val="24"/>
          <w:lang w:val="en"/>
        </w:rPr>
        <w:t>Doris Esslinger as Chair of the Sub-Task Force on Leadership along with nurse volunteers developed and executed a series of three workshops on com</w:t>
      </w:r>
      <w:r w:rsidR="00A74E15" w:rsidRPr="0041739D">
        <w:rPr>
          <w:rFonts w:ascii="Times New Roman" w:eastAsia="Times New Roman" w:hAnsi="Times New Roman" w:cs="Times New Roman"/>
          <w:sz w:val="24"/>
          <w:szCs w:val="24"/>
          <w:lang w:val="en"/>
        </w:rPr>
        <w:t xml:space="preserve">petencies of nurse executives. </w:t>
      </w:r>
      <w:r w:rsidR="008F5CE2" w:rsidRPr="0041739D">
        <w:rPr>
          <w:rFonts w:ascii="Times New Roman" w:eastAsia="Times New Roman" w:hAnsi="Times New Roman" w:cs="Times New Roman"/>
          <w:sz w:val="24"/>
          <w:szCs w:val="24"/>
          <w:lang w:val="en"/>
        </w:rPr>
        <w:t xml:space="preserve">The </w:t>
      </w:r>
      <w:r w:rsidR="003D4734" w:rsidRPr="0041739D">
        <w:rPr>
          <w:rFonts w:ascii="Times New Roman" w:eastAsia="Times New Roman" w:hAnsi="Times New Roman" w:cs="Times New Roman"/>
          <w:sz w:val="24"/>
          <w:szCs w:val="24"/>
          <w:lang w:val="en"/>
        </w:rPr>
        <w:t>offering was so successful that</w:t>
      </w:r>
      <w:r w:rsidR="008F5CE2" w:rsidRPr="0041739D">
        <w:rPr>
          <w:rFonts w:ascii="Times New Roman" w:eastAsia="Times New Roman" w:hAnsi="Times New Roman" w:cs="Times New Roman"/>
          <w:sz w:val="24"/>
          <w:szCs w:val="24"/>
          <w:lang w:val="en"/>
        </w:rPr>
        <w:t xml:space="preserve"> Charlotte Area Health Education Center has r</w:t>
      </w:r>
      <w:r w:rsidR="003D4734" w:rsidRPr="0041739D">
        <w:rPr>
          <w:rFonts w:ascii="Times New Roman" w:eastAsia="Times New Roman" w:hAnsi="Times New Roman" w:cs="Times New Roman"/>
          <w:sz w:val="24"/>
          <w:szCs w:val="24"/>
          <w:lang w:val="en"/>
        </w:rPr>
        <w:t xml:space="preserve">eplicated the workshops and </w:t>
      </w:r>
      <w:r w:rsidR="00F428C4" w:rsidRPr="0041739D">
        <w:rPr>
          <w:rFonts w:ascii="Times New Roman" w:eastAsia="Times New Roman" w:hAnsi="Times New Roman" w:cs="Times New Roman"/>
          <w:sz w:val="24"/>
          <w:szCs w:val="24"/>
          <w:lang w:val="en"/>
        </w:rPr>
        <w:t>continues</w:t>
      </w:r>
      <w:r w:rsidR="008F5CE2" w:rsidRPr="0041739D">
        <w:rPr>
          <w:rFonts w:ascii="Times New Roman" w:eastAsia="Times New Roman" w:hAnsi="Times New Roman" w:cs="Times New Roman"/>
          <w:sz w:val="24"/>
          <w:szCs w:val="24"/>
          <w:lang w:val="en"/>
        </w:rPr>
        <w:t xml:space="preserve"> to </w:t>
      </w:r>
      <w:r w:rsidR="003D4734" w:rsidRPr="0041739D">
        <w:rPr>
          <w:rFonts w:ascii="Times New Roman" w:eastAsia="Times New Roman" w:hAnsi="Times New Roman" w:cs="Times New Roman"/>
          <w:sz w:val="24"/>
          <w:szCs w:val="24"/>
          <w:lang w:val="en"/>
        </w:rPr>
        <w:t>conduct the workshop.</w:t>
      </w:r>
    </w:p>
    <w:p w14:paraId="381CFEAD" w14:textId="60B599C6" w:rsidR="007E0D13" w:rsidRPr="0041739D" w:rsidRDefault="007E0D13"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We have supported and advertised the development of a “Nurses on Boards” course in the Leadership track at East Carolina University by a State Action Coalition member </w:t>
      </w:r>
      <w:r w:rsidR="006C0A53" w:rsidRPr="0041739D">
        <w:rPr>
          <w:rFonts w:ascii="Times New Roman" w:eastAsia="Times New Roman" w:hAnsi="Times New Roman" w:cs="Times New Roman"/>
          <w:sz w:val="24"/>
          <w:szCs w:val="24"/>
          <w:lang w:val="en"/>
        </w:rPr>
        <w:t>(Connie Mullinix)</w:t>
      </w:r>
      <w:r w:rsidR="006E71C8">
        <w:rPr>
          <w:rFonts w:ascii="Times New Roman" w:eastAsia="Times New Roman" w:hAnsi="Times New Roman" w:cs="Times New Roman"/>
          <w:sz w:val="24"/>
          <w:szCs w:val="24"/>
          <w:lang w:val="en"/>
        </w:rPr>
        <w:t xml:space="preserve">. </w:t>
      </w:r>
      <w:r w:rsidR="00F428C4" w:rsidRPr="0041739D">
        <w:rPr>
          <w:rFonts w:ascii="Times New Roman" w:eastAsia="Times New Roman" w:hAnsi="Times New Roman" w:cs="Times New Roman"/>
          <w:sz w:val="24"/>
          <w:szCs w:val="24"/>
          <w:lang w:val="en"/>
        </w:rPr>
        <w:t>The course</w:t>
      </w:r>
      <w:r w:rsidRPr="0041739D">
        <w:rPr>
          <w:rFonts w:ascii="Times New Roman" w:eastAsia="Times New Roman" w:hAnsi="Times New Roman" w:cs="Times New Roman"/>
          <w:sz w:val="24"/>
          <w:szCs w:val="24"/>
          <w:lang w:val="en"/>
        </w:rPr>
        <w:t xml:space="preserve"> is being prepared for launch as a distance continuing education course</w:t>
      </w:r>
      <w:r w:rsidR="00A74E15" w:rsidRPr="0041739D">
        <w:rPr>
          <w:rFonts w:ascii="Times New Roman" w:eastAsia="Times New Roman" w:hAnsi="Times New Roman" w:cs="Times New Roman"/>
          <w:sz w:val="24"/>
          <w:szCs w:val="24"/>
          <w:lang w:val="en"/>
        </w:rPr>
        <w:t>.</w:t>
      </w:r>
    </w:p>
    <w:p w14:paraId="4B6309C4" w14:textId="69B2793C" w:rsidR="007E0D13" w:rsidRPr="0041739D" w:rsidRDefault="007E0D13"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We have designed and piloted a Board mentorship program in which nurses interested in Board service can ask the State Action Coalition for an exper</w:t>
      </w:r>
      <w:r w:rsidR="00A74E15" w:rsidRPr="0041739D">
        <w:rPr>
          <w:rFonts w:ascii="Times New Roman" w:eastAsia="Times New Roman" w:hAnsi="Times New Roman" w:cs="Times New Roman"/>
          <w:sz w:val="24"/>
          <w:szCs w:val="24"/>
          <w:lang w:val="en"/>
        </w:rPr>
        <w:t xml:space="preserve">ienced Board member to shadow. </w:t>
      </w:r>
      <w:r w:rsidRPr="0041739D">
        <w:rPr>
          <w:rFonts w:ascii="Times New Roman" w:eastAsia="Times New Roman" w:hAnsi="Times New Roman" w:cs="Times New Roman"/>
          <w:sz w:val="24"/>
          <w:szCs w:val="24"/>
          <w:lang w:val="en"/>
        </w:rPr>
        <w:t xml:space="preserve">A former Jonas Nurse Leader Scholar and Breakthrough Nurse Leader </w:t>
      </w:r>
      <w:r w:rsidR="006C0A53" w:rsidRPr="0041739D">
        <w:rPr>
          <w:rFonts w:ascii="Times New Roman" w:eastAsia="Times New Roman" w:hAnsi="Times New Roman" w:cs="Times New Roman"/>
          <w:sz w:val="24"/>
          <w:szCs w:val="24"/>
          <w:lang w:val="en"/>
        </w:rPr>
        <w:t xml:space="preserve">(AnnMarie Walton) </w:t>
      </w:r>
      <w:r w:rsidR="00A74E15" w:rsidRPr="0041739D">
        <w:rPr>
          <w:rFonts w:ascii="Times New Roman" w:eastAsia="Times New Roman" w:hAnsi="Times New Roman" w:cs="Times New Roman"/>
          <w:sz w:val="24"/>
          <w:szCs w:val="24"/>
          <w:lang w:val="en"/>
        </w:rPr>
        <w:t xml:space="preserve">piloted the program. A </w:t>
      </w:r>
      <w:r w:rsidRPr="0041739D">
        <w:rPr>
          <w:rFonts w:ascii="Times New Roman" w:eastAsia="Times New Roman" w:hAnsi="Times New Roman" w:cs="Times New Roman"/>
          <w:sz w:val="24"/>
          <w:szCs w:val="24"/>
          <w:lang w:val="en"/>
        </w:rPr>
        <w:t xml:space="preserve">champion for this work is being sought moving forward. </w:t>
      </w:r>
    </w:p>
    <w:p w14:paraId="0A0BEF11" w14:textId="77777777" w:rsidR="0041739D" w:rsidRDefault="007E0D13"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The same Jonas Scholar/ Breakthrough Nurse Leader </w:t>
      </w:r>
      <w:r w:rsidR="006C0A53" w:rsidRPr="0041739D">
        <w:rPr>
          <w:rFonts w:ascii="Times New Roman" w:eastAsia="Times New Roman" w:hAnsi="Times New Roman" w:cs="Times New Roman"/>
          <w:sz w:val="24"/>
          <w:szCs w:val="24"/>
          <w:lang w:val="en"/>
        </w:rPr>
        <w:t xml:space="preserve">(AnnMarie Walton) </w:t>
      </w:r>
      <w:r w:rsidRPr="0041739D">
        <w:rPr>
          <w:rFonts w:ascii="Times New Roman" w:eastAsia="Times New Roman" w:hAnsi="Times New Roman" w:cs="Times New Roman"/>
          <w:sz w:val="24"/>
          <w:szCs w:val="24"/>
          <w:lang w:val="en"/>
        </w:rPr>
        <w:t>conducted a small study</w:t>
      </w:r>
      <w:r w:rsidR="006C0A53" w:rsidRPr="0041739D">
        <w:rPr>
          <w:rFonts w:ascii="Times New Roman" w:eastAsia="Times New Roman" w:hAnsi="Times New Roman" w:cs="Times New Roman"/>
          <w:sz w:val="24"/>
          <w:szCs w:val="24"/>
          <w:lang w:val="en"/>
        </w:rPr>
        <w:t xml:space="preserve"> (with another SAC member, Connie Mullinix)</w:t>
      </w:r>
      <w:r w:rsidRPr="0041739D">
        <w:rPr>
          <w:rFonts w:ascii="Times New Roman" w:eastAsia="Times New Roman" w:hAnsi="Times New Roman" w:cs="Times New Roman"/>
          <w:sz w:val="24"/>
          <w:szCs w:val="24"/>
          <w:lang w:val="en"/>
        </w:rPr>
        <w:t xml:space="preserve"> to examine the orientation experiences of nurses to nursing boards and the study was published in Nursing Outlook for broad dissemination of the findings</w:t>
      </w:r>
      <w:r w:rsidR="006C0A53" w:rsidRPr="0041739D">
        <w:rPr>
          <w:rFonts w:ascii="Times New Roman" w:eastAsia="Times New Roman" w:hAnsi="Times New Roman" w:cs="Times New Roman"/>
          <w:sz w:val="24"/>
          <w:szCs w:val="24"/>
          <w:lang w:val="en"/>
        </w:rPr>
        <w:t xml:space="preserve"> (http://www.nursingoutlook.org/article/S0029-6554(14)00294-2/pdf)</w:t>
      </w:r>
      <w:r w:rsidR="00A74E15" w:rsidRPr="0041739D">
        <w:rPr>
          <w:rFonts w:ascii="Times New Roman" w:eastAsia="Times New Roman" w:hAnsi="Times New Roman" w:cs="Times New Roman"/>
          <w:sz w:val="24"/>
          <w:szCs w:val="24"/>
          <w:lang w:val="en"/>
        </w:rPr>
        <w:t xml:space="preserve">. </w:t>
      </w:r>
      <w:r w:rsidRPr="0041739D">
        <w:rPr>
          <w:rFonts w:ascii="Times New Roman" w:eastAsia="Times New Roman" w:hAnsi="Times New Roman" w:cs="Times New Roman"/>
          <w:sz w:val="24"/>
          <w:szCs w:val="24"/>
          <w:lang w:val="en"/>
        </w:rPr>
        <w:t xml:space="preserve">Two nursing boards have restructured their orientation processes as a result. </w:t>
      </w:r>
    </w:p>
    <w:p w14:paraId="317A72A7" w14:textId="53E79AD6" w:rsidR="007E0D13" w:rsidRPr="0041739D" w:rsidRDefault="0041739D"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A </w:t>
      </w:r>
      <w:r>
        <w:rPr>
          <w:rFonts w:ascii="Times New Roman" w:eastAsia="Times New Roman" w:hAnsi="Times New Roman" w:cs="Times New Roman"/>
          <w:sz w:val="24"/>
          <w:szCs w:val="24"/>
          <w:lang w:val="en"/>
        </w:rPr>
        <w:t>presentation of progress on our four goals to date, with a focus on leadership will be made at</w:t>
      </w:r>
      <w:r w:rsidRPr="0041739D">
        <w:rPr>
          <w:rFonts w:ascii="Times New Roman" w:eastAsia="Times New Roman" w:hAnsi="Times New Roman" w:cs="Times New Roman"/>
          <w:sz w:val="24"/>
          <w:szCs w:val="24"/>
          <w:lang w:val="en"/>
        </w:rPr>
        <w:t xml:space="preserve"> the North Carolina Nurses Association Convention this fall (Nettie Evans, Karen Stallings &amp; AnnMarie Walton).</w:t>
      </w:r>
    </w:p>
    <w:p w14:paraId="418D5153" w14:textId="5F79AC69" w:rsidR="007E0D13" w:rsidRPr="0041739D" w:rsidRDefault="007E0D13"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Another Jonas Nurse Leader Scholar </w:t>
      </w:r>
      <w:r w:rsidR="006C0A53" w:rsidRPr="0041739D">
        <w:rPr>
          <w:rFonts w:ascii="Times New Roman" w:eastAsia="Times New Roman" w:hAnsi="Times New Roman" w:cs="Times New Roman"/>
          <w:sz w:val="24"/>
          <w:szCs w:val="24"/>
          <w:lang w:val="en"/>
        </w:rPr>
        <w:t xml:space="preserve">(Anna Schwarz) </w:t>
      </w:r>
      <w:r w:rsidRPr="0041739D">
        <w:rPr>
          <w:rFonts w:ascii="Times New Roman" w:eastAsia="Times New Roman" w:hAnsi="Times New Roman" w:cs="Times New Roman"/>
          <w:sz w:val="24"/>
          <w:szCs w:val="24"/>
          <w:lang w:val="en"/>
        </w:rPr>
        <w:t xml:space="preserve">is at work on a survey to be administered in Fall 2015 to quantify how many nurses registered with the North Carolina Board of Nursing are currently serving on boards and how many are interested </w:t>
      </w:r>
      <w:r w:rsidRPr="0041739D">
        <w:rPr>
          <w:rFonts w:ascii="Times New Roman" w:eastAsia="Times New Roman" w:hAnsi="Times New Roman" w:cs="Times New Roman"/>
          <w:sz w:val="24"/>
          <w:szCs w:val="24"/>
          <w:lang w:val="en"/>
        </w:rPr>
        <w:lastRenderedPageBreak/>
        <w:t>in serving and/or lookin</w:t>
      </w:r>
      <w:r w:rsidR="00A74E15" w:rsidRPr="0041739D">
        <w:rPr>
          <w:rFonts w:ascii="Times New Roman" w:eastAsia="Times New Roman" w:hAnsi="Times New Roman" w:cs="Times New Roman"/>
          <w:sz w:val="24"/>
          <w:szCs w:val="24"/>
          <w:lang w:val="en"/>
        </w:rPr>
        <w:t xml:space="preserve">g for training and mentorship. </w:t>
      </w:r>
      <w:r w:rsidRPr="0041739D">
        <w:rPr>
          <w:rFonts w:ascii="Times New Roman" w:eastAsia="Times New Roman" w:hAnsi="Times New Roman" w:cs="Times New Roman"/>
          <w:sz w:val="24"/>
          <w:szCs w:val="24"/>
          <w:lang w:val="en"/>
        </w:rPr>
        <w:t>An effort will then be undertaken to pair those nurses interested in service with appro</w:t>
      </w:r>
      <w:r w:rsidR="00CF420C" w:rsidRPr="0041739D">
        <w:rPr>
          <w:rFonts w:ascii="Times New Roman" w:eastAsia="Times New Roman" w:hAnsi="Times New Roman" w:cs="Times New Roman"/>
          <w:sz w:val="24"/>
          <w:szCs w:val="24"/>
          <w:lang w:val="en"/>
        </w:rPr>
        <w:t>p</w:t>
      </w:r>
      <w:r w:rsidRPr="0041739D">
        <w:rPr>
          <w:rFonts w:ascii="Times New Roman" w:eastAsia="Times New Roman" w:hAnsi="Times New Roman" w:cs="Times New Roman"/>
          <w:sz w:val="24"/>
          <w:szCs w:val="24"/>
          <w:lang w:val="en"/>
        </w:rPr>
        <w:t xml:space="preserve">riate resources and opportunities. </w:t>
      </w:r>
    </w:p>
    <w:p w14:paraId="6575C321" w14:textId="0434776C" w:rsidR="00CF420C" w:rsidRPr="0041739D" w:rsidRDefault="00CF420C" w:rsidP="006B5E63">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Three members of the North Carolina State Action Coalition are currently serving on taskforces at the national level on the 10,000 Nurses</w:t>
      </w:r>
      <w:r w:rsidR="00A74E15" w:rsidRPr="0041739D">
        <w:rPr>
          <w:rFonts w:ascii="Times New Roman" w:eastAsia="Times New Roman" w:hAnsi="Times New Roman" w:cs="Times New Roman"/>
          <w:sz w:val="24"/>
          <w:szCs w:val="24"/>
          <w:lang w:val="en"/>
        </w:rPr>
        <w:t xml:space="preserve"> on Boards by 2020 initiative. </w:t>
      </w:r>
      <w:r w:rsidRPr="0041739D">
        <w:rPr>
          <w:rFonts w:ascii="Times New Roman" w:eastAsia="Times New Roman" w:hAnsi="Times New Roman" w:cs="Times New Roman"/>
          <w:sz w:val="24"/>
          <w:szCs w:val="24"/>
          <w:lang w:val="en"/>
        </w:rPr>
        <w:t xml:space="preserve">Connie Mullinix is on workgroup </w:t>
      </w:r>
      <w:r w:rsidR="008F778E" w:rsidRPr="0041739D">
        <w:rPr>
          <w:rFonts w:ascii="Times New Roman" w:eastAsia="Times New Roman" w:hAnsi="Times New Roman" w:cs="Times New Roman"/>
          <w:sz w:val="24"/>
          <w:szCs w:val="24"/>
          <w:lang w:val="en"/>
        </w:rPr>
        <w:t>4</w:t>
      </w:r>
      <w:r w:rsidR="00A74E15" w:rsidRPr="0041739D">
        <w:rPr>
          <w:rFonts w:ascii="Times New Roman" w:eastAsia="Times New Roman" w:hAnsi="Times New Roman" w:cs="Times New Roman"/>
          <w:sz w:val="24"/>
          <w:szCs w:val="24"/>
          <w:lang w:val="en"/>
        </w:rPr>
        <w:t xml:space="preserve"> focused on</w:t>
      </w:r>
      <w:r w:rsidR="00F428C4" w:rsidRPr="0041739D">
        <w:rPr>
          <w:rFonts w:ascii="Times New Roman" w:eastAsia="Times New Roman" w:hAnsi="Times New Roman" w:cs="Times New Roman"/>
          <w:sz w:val="24"/>
          <w:szCs w:val="24"/>
          <w:lang w:val="en"/>
        </w:rPr>
        <w:t xml:space="preserve"> </w:t>
      </w:r>
      <w:r w:rsidR="00A74E15" w:rsidRPr="0041739D">
        <w:rPr>
          <w:rFonts w:ascii="Times New Roman" w:eastAsia="Calibri" w:hAnsi="Times New Roman" w:cs="Times New Roman"/>
          <w:sz w:val="24"/>
          <w:szCs w:val="24"/>
        </w:rPr>
        <w:t>education and preparation for board s</w:t>
      </w:r>
      <w:r w:rsidR="008F778E" w:rsidRPr="0041739D">
        <w:rPr>
          <w:rFonts w:ascii="Times New Roman" w:eastAsia="Calibri" w:hAnsi="Times New Roman" w:cs="Times New Roman"/>
          <w:sz w:val="24"/>
          <w:szCs w:val="24"/>
        </w:rPr>
        <w:t>ervice (Early Pipeline)</w:t>
      </w:r>
      <w:r w:rsidR="00695AA8" w:rsidRPr="0041739D">
        <w:rPr>
          <w:rFonts w:ascii="Times New Roman" w:eastAsia="Times New Roman" w:hAnsi="Times New Roman" w:cs="Times New Roman"/>
          <w:sz w:val="24"/>
          <w:szCs w:val="24"/>
          <w:lang w:val="en"/>
        </w:rPr>
        <w:t>, Tina Gordon</w:t>
      </w:r>
      <w:r w:rsidR="00A74E15" w:rsidRPr="0041739D">
        <w:rPr>
          <w:rFonts w:ascii="Times New Roman" w:eastAsia="Times New Roman" w:hAnsi="Times New Roman" w:cs="Times New Roman"/>
          <w:sz w:val="24"/>
          <w:szCs w:val="24"/>
          <w:lang w:val="en"/>
        </w:rPr>
        <w:t xml:space="preserve"> is co-chair of workgroup 1 focused on board p</w:t>
      </w:r>
      <w:r w:rsidR="00695AA8" w:rsidRPr="0041739D">
        <w:rPr>
          <w:rFonts w:ascii="Times New Roman" w:eastAsia="Times New Roman" w:hAnsi="Times New Roman" w:cs="Times New Roman"/>
          <w:sz w:val="24"/>
          <w:szCs w:val="24"/>
          <w:lang w:val="en"/>
        </w:rPr>
        <w:t xml:space="preserve">lacements </w:t>
      </w:r>
      <w:r w:rsidRPr="0041739D">
        <w:rPr>
          <w:rFonts w:ascii="Times New Roman" w:eastAsia="Times New Roman" w:hAnsi="Times New Roman" w:cs="Times New Roman"/>
          <w:sz w:val="24"/>
          <w:szCs w:val="24"/>
          <w:lang w:val="en"/>
        </w:rPr>
        <w:t>and AnnMarie Walton is co-chair of workgroup 6 focused on sustainability.</w:t>
      </w:r>
    </w:p>
    <w:p w14:paraId="2D6BC298" w14:textId="0AE6055A" w:rsidR="007E0D13" w:rsidRPr="00B20F7A" w:rsidRDefault="006C0A53" w:rsidP="005538B8">
      <w:pPr>
        <w:pStyle w:val="ListParagraph"/>
        <w:numPr>
          <w:ilvl w:val="0"/>
          <w:numId w:val="4"/>
        </w:numPr>
        <w:spacing w:before="60" w:after="100" w:afterAutospacing="1" w:line="240" w:lineRule="auto"/>
        <w:rPr>
          <w:rFonts w:ascii="Times New Roman" w:eastAsia="Times New Roman" w:hAnsi="Times New Roman" w:cs="Times New Roman"/>
          <w:sz w:val="24"/>
          <w:szCs w:val="24"/>
          <w:lang w:val="en"/>
        </w:rPr>
      </w:pPr>
      <w:r w:rsidRPr="00B20F7A">
        <w:rPr>
          <w:rFonts w:ascii="Times New Roman" w:eastAsia="Times New Roman" w:hAnsi="Times New Roman" w:cs="Times New Roman"/>
          <w:sz w:val="24"/>
          <w:szCs w:val="24"/>
          <w:lang w:val="en"/>
        </w:rPr>
        <w:t>Three members of the North Carolina State Action Coalition have been working with the Great 100 Nurses organization in North Carolina to partner around advancing the 10K Nurses</w:t>
      </w:r>
      <w:r w:rsidR="00A74E15" w:rsidRPr="00B20F7A">
        <w:rPr>
          <w:rFonts w:ascii="Times New Roman" w:eastAsia="Times New Roman" w:hAnsi="Times New Roman" w:cs="Times New Roman"/>
          <w:sz w:val="24"/>
          <w:szCs w:val="24"/>
          <w:lang w:val="en"/>
        </w:rPr>
        <w:t xml:space="preserve"> on Boards by 2020 initiative. </w:t>
      </w:r>
      <w:r w:rsidRPr="00B20F7A">
        <w:rPr>
          <w:rFonts w:ascii="Times New Roman" w:eastAsia="Times New Roman" w:hAnsi="Times New Roman" w:cs="Times New Roman"/>
          <w:sz w:val="24"/>
          <w:szCs w:val="24"/>
          <w:lang w:val="en"/>
        </w:rPr>
        <w:t>These meetings are ongoing but intended to funnel interested Great 100 Nurses into the pipeline for preparation and placement on boards (Jessica Sparrow, Connie Mullinix &amp; AnnMarie Walton).</w:t>
      </w:r>
    </w:p>
    <w:p w14:paraId="1A14FF7D" w14:textId="3A274FDF" w:rsidR="005538B8" w:rsidRPr="0041739D" w:rsidRDefault="005538B8" w:rsidP="00F26D69">
      <w:pPr>
        <w:spacing w:before="60" w:after="0" w:line="240" w:lineRule="auto"/>
        <w:rPr>
          <w:rFonts w:ascii="Times New Roman" w:eastAsia="Times New Roman" w:hAnsi="Times New Roman" w:cs="Times New Roman"/>
          <w:b/>
          <w:sz w:val="24"/>
          <w:szCs w:val="24"/>
          <w:u w:val="single"/>
          <w:lang w:val="en"/>
        </w:rPr>
      </w:pPr>
      <w:r w:rsidRPr="0041739D">
        <w:rPr>
          <w:rFonts w:ascii="Times New Roman" w:eastAsia="Times New Roman" w:hAnsi="Times New Roman" w:cs="Times New Roman"/>
          <w:b/>
          <w:sz w:val="24"/>
          <w:szCs w:val="24"/>
          <w:u w:val="single"/>
          <w:lang w:val="en"/>
        </w:rPr>
        <w:t xml:space="preserve">Build an </w:t>
      </w:r>
      <w:r w:rsidR="00087896" w:rsidRPr="0041739D">
        <w:rPr>
          <w:rFonts w:ascii="Times New Roman" w:eastAsia="Times New Roman" w:hAnsi="Times New Roman" w:cs="Times New Roman"/>
          <w:b/>
          <w:sz w:val="24"/>
          <w:szCs w:val="24"/>
          <w:u w:val="single"/>
          <w:lang w:val="en"/>
        </w:rPr>
        <w:t>I</w:t>
      </w:r>
      <w:r w:rsidRPr="0041739D">
        <w:rPr>
          <w:rFonts w:ascii="Times New Roman" w:eastAsia="Times New Roman" w:hAnsi="Times New Roman" w:cs="Times New Roman"/>
          <w:b/>
          <w:sz w:val="24"/>
          <w:szCs w:val="24"/>
          <w:u w:val="single"/>
          <w:lang w:val="en"/>
        </w:rPr>
        <w:t xml:space="preserve">nfrastructure for the </w:t>
      </w:r>
      <w:r w:rsidR="00087896" w:rsidRPr="0041739D">
        <w:rPr>
          <w:rFonts w:ascii="Times New Roman" w:eastAsia="Times New Roman" w:hAnsi="Times New Roman" w:cs="Times New Roman"/>
          <w:b/>
          <w:sz w:val="24"/>
          <w:szCs w:val="24"/>
          <w:u w:val="single"/>
          <w:lang w:val="en"/>
        </w:rPr>
        <w:t>C</w:t>
      </w:r>
      <w:r w:rsidRPr="0041739D">
        <w:rPr>
          <w:rFonts w:ascii="Times New Roman" w:eastAsia="Times New Roman" w:hAnsi="Times New Roman" w:cs="Times New Roman"/>
          <w:b/>
          <w:sz w:val="24"/>
          <w:szCs w:val="24"/>
          <w:u w:val="single"/>
          <w:lang w:val="en"/>
        </w:rPr>
        <w:t xml:space="preserve">ollection and </w:t>
      </w:r>
      <w:r w:rsidR="00087896" w:rsidRPr="0041739D">
        <w:rPr>
          <w:rFonts w:ascii="Times New Roman" w:eastAsia="Times New Roman" w:hAnsi="Times New Roman" w:cs="Times New Roman"/>
          <w:b/>
          <w:sz w:val="24"/>
          <w:szCs w:val="24"/>
          <w:u w:val="single"/>
          <w:lang w:val="en"/>
        </w:rPr>
        <w:t>Analysis of I</w:t>
      </w:r>
      <w:r w:rsidRPr="0041739D">
        <w:rPr>
          <w:rFonts w:ascii="Times New Roman" w:eastAsia="Times New Roman" w:hAnsi="Times New Roman" w:cs="Times New Roman"/>
          <w:b/>
          <w:sz w:val="24"/>
          <w:szCs w:val="24"/>
          <w:u w:val="single"/>
          <w:lang w:val="en"/>
        </w:rPr>
        <w:t>nter</w:t>
      </w:r>
      <w:r w:rsidR="00087896" w:rsidRPr="0041739D">
        <w:rPr>
          <w:rFonts w:ascii="Times New Roman" w:eastAsia="Times New Roman" w:hAnsi="Times New Roman" w:cs="Times New Roman"/>
          <w:b/>
          <w:sz w:val="24"/>
          <w:szCs w:val="24"/>
          <w:u w:val="single"/>
          <w:lang w:val="en"/>
        </w:rPr>
        <w:t>-</w:t>
      </w:r>
      <w:r w:rsidRPr="0041739D">
        <w:rPr>
          <w:rFonts w:ascii="Times New Roman" w:eastAsia="Times New Roman" w:hAnsi="Times New Roman" w:cs="Times New Roman"/>
          <w:b/>
          <w:sz w:val="24"/>
          <w:szCs w:val="24"/>
          <w:u w:val="single"/>
          <w:lang w:val="en"/>
        </w:rPr>
        <w:t>profession</w:t>
      </w:r>
      <w:r w:rsidR="00CF420C" w:rsidRPr="0041739D">
        <w:rPr>
          <w:rFonts w:ascii="Times New Roman" w:eastAsia="Times New Roman" w:hAnsi="Times New Roman" w:cs="Times New Roman"/>
          <w:b/>
          <w:sz w:val="24"/>
          <w:szCs w:val="24"/>
          <w:u w:val="single"/>
          <w:lang w:val="en"/>
        </w:rPr>
        <w:t>al</w:t>
      </w:r>
      <w:r w:rsidR="002B35F0" w:rsidRPr="0041739D">
        <w:rPr>
          <w:rFonts w:ascii="Times New Roman" w:eastAsia="Times New Roman" w:hAnsi="Times New Roman" w:cs="Times New Roman"/>
          <w:b/>
          <w:sz w:val="24"/>
          <w:szCs w:val="24"/>
          <w:u w:val="single"/>
          <w:lang w:val="en"/>
        </w:rPr>
        <w:t xml:space="preserve"> </w:t>
      </w:r>
      <w:r w:rsidR="00087896" w:rsidRPr="0041739D">
        <w:rPr>
          <w:rFonts w:ascii="Times New Roman" w:eastAsia="Times New Roman" w:hAnsi="Times New Roman" w:cs="Times New Roman"/>
          <w:b/>
          <w:sz w:val="24"/>
          <w:szCs w:val="24"/>
          <w:u w:val="single"/>
          <w:lang w:val="en"/>
        </w:rPr>
        <w:t>H</w:t>
      </w:r>
      <w:r w:rsidR="002B35F0" w:rsidRPr="0041739D">
        <w:rPr>
          <w:rFonts w:ascii="Times New Roman" w:eastAsia="Times New Roman" w:hAnsi="Times New Roman" w:cs="Times New Roman"/>
          <w:b/>
          <w:sz w:val="24"/>
          <w:szCs w:val="24"/>
          <w:u w:val="single"/>
          <w:lang w:val="en"/>
        </w:rPr>
        <w:t xml:space="preserve">ealth </w:t>
      </w:r>
      <w:r w:rsidR="00087896" w:rsidRPr="0041739D">
        <w:rPr>
          <w:rFonts w:ascii="Times New Roman" w:eastAsia="Times New Roman" w:hAnsi="Times New Roman" w:cs="Times New Roman"/>
          <w:b/>
          <w:sz w:val="24"/>
          <w:szCs w:val="24"/>
          <w:u w:val="single"/>
          <w:lang w:val="en"/>
        </w:rPr>
        <w:t>C</w:t>
      </w:r>
      <w:r w:rsidR="002B35F0" w:rsidRPr="0041739D">
        <w:rPr>
          <w:rFonts w:ascii="Times New Roman" w:eastAsia="Times New Roman" w:hAnsi="Times New Roman" w:cs="Times New Roman"/>
          <w:b/>
          <w:sz w:val="24"/>
          <w:szCs w:val="24"/>
          <w:u w:val="single"/>
          <w:lang w:val="en"/>
        </w:rPr>
        <w:t xml:space="preserve">are </w:t>
      </w:r>
      <w:r w:rsidR="00087896" w:rsidRPr="0041739D">
        <w:rPr>
          <w:rFonts w:ascii="Times New Roman" w:eastAsia="Times New Roman" w:hAnsi="Times New Roman" w:cs="Times New Roman"/>
          <w:b/>
          <w:sz w:val="24"/>
          <w:szCs w:val="24"/>
          <w:u w:val="single"/>
          <w:lang w:val="en"/>
        </w:rPr>
        <w:t>W</w:t>
      </w:r>
      <w:r w:rsidR="002B35F0" w:rsidRPr="0041739D">
        <w:rPr>
          <w:rFonts w:ascii="Times New Roman" w:eastAsia="Times New Roman" w:hAnsi="Times New Roman" w:cs="Times New Roman"/>
          <w:b/>
          <w:sz w:val="24"/>
          <w:szCs w:val="24"/>
          <w:u w:val="single"/>
          <w:lang w:val="en"/>
        </w:rPr>
        <w:t xml:space="preserve">orkforce </w:t>
      </w:r>
      <w:r w:rsidR="00087896" w:rsidRPr="0041739D">
        <w:rPr>
          <w:rFonts w:ascii="Times New Roman" w:eastAsia="Times New Roman" w:hAnsi="Times New Roman" w:cs="Times New Roman"/>
          <w:b/>
          <w:sz w:val="24"/>
          <w:szCs w:val="24"/>
          <w:u w:val="single"/>
          <w:lang w:val="en"/>
        </w:rPr>
        <w:t>D</w:t>
      </w:r>
      <w:r w:rsidR="002B35F0" w:rsidRPr="0041739D">
        <w:rPr>
          <w:rFonts w:ascii="Times New Roman" w:eastAsia="Times New Roman" w:hAnsi="Times New Roman" w:cs="Times New Roman"/>
          <w:b/>
          <w:sz w:val="24"/>
          <w:szCs w:val="24"/>
          <w:u w:val="single"/>
          <w:lang w:val="en"/>
        </w:rPr>
        <w:t>ata</w:t>
      </w:r>
    </w:p>
    <w:p w14:paraId="7EBDB6B4" w14:textId="3F632EFD" w:rsidR="00F0186C" w:rsidRPr="0041739D" w:rsidRDefault="00F0186C" w:rsidP="00087896">
      <w:pPr>
        <w:pStyle w:val="ListParagraph"/>
        <w:numPr>
          <w:ilvl w:val="0"/>
          <w:numId w:val="3"/>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 xml:space="preserve">Fortunately </w:t>
      </w:r>
      <w:r w:rsidR="00F428C4" w:rsidRPr="0041739D">
        <w:rPr>
          <w:rFonts w:ascii="Times New Roman" w:eastAsia="Times New Roman" w:hAnsi="Times New Roman" w:cs="Times New Roman"/>
          <w:sz w:val="24"/>
          <w:szCs w:val="24"/>
          <w:lang w:val="en"/>
        </w:rPr>
        <w:t xml:space="preserve">NC has a premier </w:t>
      </w:r>
      <w:r w:rsidRPr="0041739D">
        <w:rPr>
          <w:rFonts w:ascii="Times New Roman" w:eastAsia="Times New Roman" w:hAnsi="Times New Roman" w:cs="Times New Roman"/>
          <w:sz w:val="24"/>
          <w:szCs w:val="24"/>
          <w:lang w:val="en"/>
        </w:rPr>
        <w:t>health professions workforce data center in the Cecil G. Sheps Center for Health Services Research at the University of North Carolina</w:t>
      </w:r>
      <w:r w:rsidR="00F428C4" w:rsidRPr="0041739D">
        <w:rPr>
          <w:rFonts w:ascii="Times New Roman" w:eastAsia="Times New Roman" w:hAnsi="Times New Roman" w:cs="Times New Roman"/>
          <w:sz w:val="24"/>
          <w:szCs w:val="24"/>
          <w:lang w:val="en"/>
        </w:rPr>
        <w:t xml:space="preserve"> in</w:t>
      </w:r>
      <w:r w:rsidRPr="0041739D">
        <w:rPr>
          <w:rFonts w:ascii="Times New Roman" w:eastAsia="Times New Roman" w:hAnsi="Times New Roman" w:cs="Times New Roman"/>
          <w:sz w:val="24"/>
          <w:szCs w:val="24"/>
          <w:lang w:val="en"/>
        </w:rPr>
        <w:t xml:space="preserve"> Chapel Hill</w:t>
      </w:r>
      <w:r w:rsidR="00A74E15" w:rsidRPr="0041739D">
        <w:rPr>
          <w:rFonts w:ascii="Times New Roman" w:eastAsia="Times New Roman" w:hAnsi="Times New Roman" w:cs="Times New Roman"/>
          <w:sz w:val="24"/>
          <w:szCs w:val="24"/>
          <w:lang w:val="en"/>
        </w:rPr>
        <w:t xml:space="preserve">. </w:t>
      </w:r>
      <w:r w:rsidRPr="0041739D">
        <w:rPr>
          <w:rFonts w:ascii="Times New Roman" w:eastAsia="Times New Roman" w:hAnsi="Times New Roman" w:cs="Times New Roman"/>
          <w:sz w:val="24"/>
          <w:szCs w:val="24"/>
          <w:lang w:val="en"/>
        </w:rPr>
        <w:t>The center, involved in NC and national workforce studies, is a collaborative partner in providing nursing and inter-professional workforce data trends and recommendations to the N</w:t>
      </w:r>
      <w:r w:rsidR="00A74E15" w:rsidRPr="0041739D">
        <w:rPr>
          <w:rFonts w:ascii="Times New Roman" w:eastAsia="Times New Roman" w:hAnsi="Times New Roman" w:cs="Times New Roman"/>
          <w:sz w:val="24"/>
          <w:szCs w:val="24"/>
          <w:lang w:val="en"/>
        </w:rPr>
        <w:t xml:space="preserve">orth </w:t>
      </w:r>
      <w:r w:rsidRPr="0041739D">
        <w:rPr>
          <w:rFonts w:ascii="Times New Roman" w:eastAsia="Times New Roman" w:hAnsi="Times New Roman" w:cs="Times New Roman"/>
          <w:sz w:val="24"/>
          <w:szCs w:val="24"/>
          <w:lang w:val="en"/>
        </w:rPr>
        <w:t>C</w:t>
      </w:r>
      <w:r w:rsidR="00A74E15" w:rsidRPr="0041739D">
        <w:rPr>
          <w:rFonts w:ascii="Times New Roman" w:eastAsia="Times New Roman" w:hAnsi="Times New Roman" w:cs="Times New Roman"/>
          <w:sz w:val="24"/>
          <w:szCs w:val="24"/>
          <w:lang w:val="en"/>
        </w:rPr>
        <w:t>arolina</w:t>
      </w:r>
      <w:r w:rsidRPr="0041739D">
        <w:rPr>
          <w:rFonts w:ascii="Times New Roman" w:eastAsia="Times New Roman" w:hAnsi="Times New Roman" w:cs="Times New Roman"/>
          <w:sz w:val="24"/>
          <w:szCs w:val="24"/>
          <w:lang w:val="en"/>
        </w:rPr>
        <w:t xml:space="preserve"> FON Action Coalition. </w:t>
      </w:r>
    </w:p>
    <w:p w14:paraId="4C3F856F" w14:textId="1DB01CD4" w:rsidR="00087896" w:rsidRPr="0041739D" w:rsidRDefault="00F0186C" w:rsidP="00087896">
      <w:pPr>
        <w:pStyle w:val="ListParagraph"/>
        <w:numPr>
          <w:ilvl w:val="0"/>
          <w:numId w:val="3"/>
        </w:numPr>
        <w:spacing w:before="60" w:after="100" w:afterAutospacing="1" w:line="240" w:lineRule="auto"/>
        <w:rPr>
          <w:rFonts w:ascii="Times New Roman" w:eastAsia="Times New Roman" w:hAnsi="Times New Roman" w:cs="Times New Roman"/>
          <w:sz w:val="24"/>
          <w:szCs w:val="24"/>
          <w:lang w:val="en"/>
        </w:rPr>
      </w:pPr>
      <w:r w:rsidRPr="0041739D">
        <w:rPr>
          <w:rFonts w:ascii="Times New Roman" w:eastAsia="Times New Roman" w:hAnsi="Times New Roman" w:cs="Times New Roman"/>
          <w:sz w:val="24"/>
          <w:szCs w:val="24"/>
          <w:lang w:val="en"/>
        </w:rPr>
        <w:t>T</w:t>
      </w:r>
      <w:r w:rsidR="00087896" w:rsidRPr="0041739D">
        <w:rPr>
          <w:rFonts w:ascii="Times New Roman" w:eastAsia="Times New Roman" w:hAnsi="Times New Roman" w:cs="Times New Roman"/>
          <w:sz w:val="24"/>
          <w:szCs w:val="24"/>
          <w:lang w:val="en"/>
        </w:rPr>
        <w:t>he demand for improved nursing workforce data has driven the NC Board of Nursing to migrate to a more advanced data platform</w:t>
      </w:r>
      <w:r w:rsidR="00A74E15" w:rsidRPr="0041739D">
        <w:rPr>
          <w:rFonts w:ascii="Times New Roman" w:eastAsia="Times New Roman" w:hAnsi="Times New Roman" w:cs="Times New Roman"/>
          <w:sz w:val="24"/>
          <w:szCs w:val="24"/>
          <w:lang w:val="en"/>
        </w:rPr>
        <w:t xml:space="preserve">. </w:t>
      </w:r>
      <w:r w:rsidR="00087896" w:rsidRPr="0041739D">
        <w:rPr>
          <w:rFonts w:ascii="Times New Roman" w:eastAsia="Times New Roman" w:hAnsi="Times New Roman" w:cs="Times New Roman"/>
          <w:sz w:val="24"/>
          <w:szCs w:val="24"/>
          <w:lang w:val="en"/>
        </w:rPr>
        <w:t>Enhanced data access is impacting the ability to analyze and understand workforce trends and needs.</w:t>
      </w:r>
    </w:p>
    <w:p w14:paraId="18BFA389" w14:textId="77777777" w:rsidR="006C0E22" w:rsidRPr="0041739D" w:rsidRDefault="00CF420C" w:rsidP="005538B8">
      <w:pPr>
        <w:pStyle w:val="ListParagraph"/>
        <w:numPr>
          <w:ilvl w:val="0"/>
          <w:numId w:val="3"/>
        </w:numPr>
        <w:spacing w:before="60" w:after="100" w:afterAutospacing="1" w:line="240" w:lineRule="auto"/>
        <w:rPr>
          <w:rFonts w:ascii="Times New Roman" w:hAnsi="Times New Roman" w:cs="Times New Roman"/>
          <w:b/>
          <w:sz w:val="24"/>
          <w:szCs w:val="24"/>
          <w:u w:val="single"/>
          <w:lang w:val="en"/>
        </w:rPr>
      </w:pPr>
      <w:r w:rsidRPr="0041739D">
        <w:rPr>
          <w:rFonts w:ascii="Times New Roman" w:eastAsia="Times New Roman" w:hAnsi="Times New Roman" w:cs="Times New Roman"/>
          <w:sz w:val="24"/>
          <w:szCs w:val="24"/>
          <w:lang w:val="en"/>
        </w:rPr>
        <w:t xml:space="preserve"> Jonas Nurse Leader Scholars </w:t>
      </w:r>
      <w:r w:rsidR="006C0A53" w:rsidRPr="0041739D">
        <w:rPr>
          <w:rFonts w:ascii="Times New Roman" w:eastAsia="Times New Roman" w:hAnsi="Times New Roman" w:cs="Times New Roman"/>
          <w:sz w:val="24"/>
          <w:szCs w:val="24"/>
          <w:lang w:val="en"/>
        </w:rPr>
        <w:t>(</w:t>
      </w:r>
      <w:r w:rsidR="00087896" w:rsidRPr="0041739D">
        <w:rPr>
          <w:rFonts w:ascii="Times New Roman" w:eastAsia="Times New Roman" w:hAnsi="Times New Roman" w:cs="Times New Roman"/>
          <w:sz w:val="24"/>
          <w:szCs w:val="24"/>
          <w:lang w:val="en"/>
        </w:rPr>
        <w:t>Rachel Hirschey &amp; Megan Winkler)</w:t>
      </w:r>
      <w:r w:rsidR="006C0A53" w:rsidRPr="0041739D">
        <w:rPr>
          <w:rFonts w:ascii="Times New Roman" w:eastAsia="Times New Roman" w:hAnsi="Times New Roman" w:cs="Times New Roman"/>
          <w:sz w:val="24"/>
          <w:szCs w:val="24"/>
          <w:lang w:val="en"/>
        </w:rPr>
        <w:t xml:space="preserve"> </w:t>
      </w:r>
      <w:r w:rsidRPr="0041739D">
        <w:rPr>
          <w:rFonts w:ascii="Times New Roman" w:eastAsia="Times New Roman" w:hAnsi="Times New Roman" w:cs="Times New Roman"/>
          <w:sz w:val="24"/>
          <w:szCs w:val="24"/>
          <w:lang w:val="en"/>
        </w:rPr>
        <w:t>in collabor</w:t>
      </w:r>
      <w:r w:rsidR="006C0A53" w:rsidRPr="0041739D">
        <w:rPr>
          <w:rFonts w:ascii="Times New Roman" w:eastAsia="Times New Roman" w:hAnsi="Times New Roman" w:cs="Times New Roman"/>
          <w:sz w:val="24"/>
          <w:szCs w:val="24"/>
          <w:lang w:val="en"/>
        </w:rPr>
        <w:t>a</w:t>
      </w:r>
      <w:r w:rsidRPr="0041739D">
        <w:rPr>
          <w:rFonts w:ascii="Times New Roman" w:eastAsia="Times New Roman" w:hAnsi="Times New Roman" w:cs="Times New Roman"/>
          <w:sz w:val="24"/>
          <w:szCs w:val="24"/>
          <w:lang w:val="en"/>
        </w:rPr>
        <w:t xml:space="preserve">tion with the North Carolina Board of Nursing and the North Carolina Sheps Center have undertaken a project to analyze, review and publish workforce data which will demonstrate trends and progress in diversification of the nursing workforce as well as data on interdisciplinary preparation of the current nursing workforce.  </w:t>
      </w:r>
    </w:p>
    <w:p w14:paraId="59AA5C01" w14:textId="0AF17FE3" w:rsidR="006B5E63" w:rsidRPr="0041739D" w:rsidRDefault="006B5E63" w:rsidP="00F26D69">
      <w:pPr>
        <w:spacing w:before="60" w:after="0" w:line="240" w:lineRule="auto"/>
        <w:rPr>
          <w:rFonts w:ascii="Times New Roman" w:hAnsi="Times New Roman" w:cs="Times New Roman"/>
          <w:b/>
          <w:sz w:val="24"/>
          <w:szCs w:val="24"/>
          <w:u w:val="single"/>
          <w:lang w:val="en"/>
        </w:rPr>
      </w:pPr>
      <w:r w:rsidRPr="0041739D">
        <w:rPr>
          <w:rFonts w:ascii="Times New Roman" w:hAnsi="Times New Roman" w:cs="Times New Roman"/>
          <w:b/>
          <w:sz w:val="24"/>
          <w:szCs w:val="24"/>
          <w:u w:val="single"/>
          <w:lang w:val="en"/>
        </w:rPr>
        <w:t>Summary</w:t>
      </w:r>
    </w:p>
    <w:p w14:paraId="7B676297" w14:textId="2DC7512A" w:rsidR="006B5E63" w:rsidRDefault="006B5E63" w:rsidP="005538B8">
      <w:pPr>
        <w:rPr>
          <w:rFonts w:ascii="Times New Roman" w:hAnsi="Times New Roman" w:cs="Times New Roman"/>
          <w:sz w:val="24"/>
          <w:szCs w:val="24"/>
          <w:lang w:val="en"/>
        </w:rPr>
      </w:pPr>
      <w:r w:rsidRPr="0041739D">
        <w:rPr>
          <w:rFonts w:ascii="Times New Roman" w:hAnsi="Times New Roman" w:cs="Times New Roman"/>
          <w:sz w:val="24"/>
          <w:szCs w:val="24"/>
          <w:lang w:val="en"/>
        </w:rPr>
        <w:t>North Carolina is proud of its accomplishments toward the 2010 IOM reco</w:t>
      </w:r>
      <w:r w:rsidR="00A74E15" w:rsidRPr="0041739D">
        <w:rPr>
          <w:rFonts w:ascii="Times New Roman" w:hAnsi="Times New Roman" w:cs="Times New Roman"/>
          <w:sz w:val="24"/>
          <w:szCs w:val="24"/>
          <w:lang w:val="en"/>
        </w:rPr>
        <w:t xml:space="preserve">mmendations as detailed above. </w:t>
      </w:r>
      <w:r w:rsidRPr="0041739D">
        <w:rPr>
          <w:rFonts w:ascii="Times New Roman" w:hAnsi="Times New Roman" w:cs="Times New Roman"/>
          <w:sz w:val="24"/>
          <w:szCs w:val="24"/>
          <w:lang w:val="en"/>
        </w:rPr>
        <w:t xml:space="preserve">While excitement and momentum has prevailed and achieved intended consequences, perhaps the most exciting is the unintentional consequence of </w:t>
      </w:r>
      <w:r w:rsidR="00575204" w:rsidRPr="0041739D">
        <w:rPr>
          <w:rFonts w:ascii="Times New Roman" w:hAnsi="Times New Roman" w:cs="Times New Roman"/>
          <w:sz w:val="24"/>
          <w:szCs w:val="24"/>
          <w:lang w:val="en"/>
        </w:rPr>
        <w:t>enhanced relationship based</w:t>
      </w:r>
      <w:r w:rsidR="00A74E15" w:rsidRPr="0041739D">
        <w:rPr>
          <w:rFonts w:ascii="Times New Roman" w:hAnsi="Times New Roman" w:cs="Times New Roman"/>
          <w:sz w:val="24"/>
          <w:szCs w:val="24"/>
          <w:lang w:val="en"/>
        </w:rPr>
        <w:t xml:space="preserve"> collaboration. </w:t>
      </w:r>
      <w:r w:rsidRPr="0041739D">
        <w:rPr>
          <w:rFonts w:ascii="Times New Roman" w:hAnsi="Times New Roman" w:cs="Times New Roman"/>
          <w:sz w:val="24"/>
          <w:szCs w:val="24"/>
          <w:lang w:val="en"/>
        </w:rPr>
        <w:t xml:space="preserve">Across our state, relationships between organizations </w:t>
      </w:r>
      <w:r w:rsidR="00C7092D" w:rsidRPr="0041739D">
        <w:rPr>
          <w:rFonts w:ascii="Times New Roman" w:hAnsi="Times New Roman" w:cs="Times New Roman"/>
          <w:sz w:val="24"/>
          <w:szCs w:val="24"/>
          <w:lang w:val="en"/>
        </w:rPr>
        <w:t>that</w:t>
      </w:r>
      <w:r w:rsidRPr="0041739D">
        <w:rPr>
          <w:rFonts w:ascii="Times New Roman" w:hAnsi="Times New Roman" w:cs="Times New Roman"/>
          <w:sz w:val="24"/>
          <w:szCs w:val="24"/>
          <w:lang w:val="en"/>
        </w:rPr>
        <w:t xml:space="preserve"> have historically operated </w:t>
      </w:r>
      <w:r w:rsidR="008B1DF4" w:rsidRPr="0041739D">
        <w:rPr>
          <w:rFonts w:ascii="Times New Roman" w:hAnsi="Times New Roman" w:cs="Times New Roman"/>
          <w:sz w:val="24"/>
          <w:szCs w:val="24"/>
          <w:lang w:val="en"/>
        </w:rPr>
        <w:t>in a</w:t>
      </w:r>
      <w:r w:rsidRPr="0041739D">
        <w:rPr>
          <w:rFonts w:ascii="Times New Roman" w:hAnsi="Times New Roman" w:cs="Times New Roman"/>
          <w:sz w:val="24"/>
          <w:szCs w:val="24"/>
          <w:lang w:val="en"/>
        </w:rPr>
        <w:t xml:space="preserve"> solo and </w:t>
      </w:r>
      <w:r w:rsidR="00C7092D" w:rsidRPr="0041739D">
        <w:rPr>
          <w:rFonts w:ascii="Times New Roman" w:hAnsi="Times New Roman" w:cs="Times New Roman"/>
          <w:sz w:val="24"/>
          <w:szCs w:val="24"/>
          <w:lang w:val="en"/>
        </w:rPr>
        <w:t>competitive</w:t>
      </w:r>
      <w:r w:rsidRPr="0041739D">
        <w:rPr>
          <w:rFonts w:ascii="Times New Roman" w:hAnsi="Times New Roman" w:cs="Times New Roman"/>
          <w:sz w:val="24"/>
          <w:szCs w:val="24"/>
          <w:lang w:val="en"/>
        </w:rPr>
        <w:t xml:space="preserve"> </w:t>
      </w:r>
      <w:r w:rsidR="008B1DF4" w:rsidRPr="0041739D">
        <w:rPr>
          <w:rFonts w:ascii="Times New Roman" w:hAnsi="Times New Roman" w:cs="Times New Roman"/>
          <w:sz w:val="24"/>
          <w:szCs w:val="24"/>
          <w:lang w:val="en"/>
        </w:rPr>
        <w:t>manner regarding</w:t>
      </w:r>
      <w:r w:rsidRPr="0041739D">
        <w:rPr>
          <w:rFonts w:ascii="Times New Roman" w:hAnsi="Times New Roman" w:cs="Times New Roman"/>
          <w:sz w:val="24"/>
          <w:szCs w:val="24"/>
          <w:lang w:val="en"/>
        </w:rPr>
        <w:t xml:space="preserve"> nursing workforce activities have matured and evolved such that collaborative synergy is ach</w:t>
      </w:r>
      <w:r w:rsidR="00A74E15" w:rsidRPr="0041739D">
        <w:rPr>
          <w:rFonts w:ascii="Times New Roman" w:hAnsi="Times New Roman" w:cs="Times New Roman"/>
          <w:sz w:val="24"/>
          <w:szCs w:val="24"/>
          <w:lang w:val="en"/>
        </w:rPr>
        <w:t xml:space="preserve">ieving results on many levels. </w:t>
      </w:r>
      <w:r w:rsidRPr="0041739D">
        <w:rPr>
          <w:rFonts w:ascii="Times New Roman" w:hAnsi="Times New Roman" w:cs="Times New Roman"/>
          <w:sz w:val="24"/>
          <w:szCs w:val="24"/>
          <w:lang w:val="en"/>
        </w:rPr>
        <w:t>North Carolina is committed to</w:t>
      </w:r>
      <w:r w:rsidR="00C7092D" w:rsidRPr="0041739D">
        <w:rPr>
          <w:rFonts w:ascii="Times New Roman" w:hAnsi="Times New Roman" w:cs="Times New Roman"/>
          <w:sz w:val="24"/>
          <w:szCs w:val="24"/>
          <w:lang w:val="en"/>
        </w:rPr>
        <w:t xml:space="preserve"> advancing the IOM agenda! </w:t>
      </w:r>
    </w:p>
    <w:p w14:paraId="54103D07" w14:textId="77777777" w:rsidR="00F26D69" w:rsidRDefault="00F26D69" w:rsidP="005538B8">
      <w:pPr>
        <w:rPr>
          <w:rFonts w:ascii="Times New Roman" w:hAnsi="Times New Roman" w:cs="Times New Roman"/>
          <w:sz w:val="24"/>
          <w:szCs w:val="24"/>
          <w:lang w:val="en"/>
        </w:rPr>
      </w:pPr>
    </w:p>
    <w:p w14:paraId="0E0221E5" w14:textId="77777777" w:rsidR="00F26D69" w:rsidRDefault="00F26D69" w:rsidP="005538B8">
      <w:pPr>
        <w:rPr>
          <w:rFonts w:ascii="Times New Roman" w:hAnsi="Times New Roman" w:cs="Times New Roman"/>
          <w:sz w:val="24"/>
          <w:szCs w:val="24"/>
          <w:lang w:val="en"/>
        </w:rPr>
      </w:pPr>
    </w:p>
    <w:p w14:paraId="2F219587" w14:textId="03AD67E5" w:rsidR="008F6084" w:rsidRPr="006E71C8" w:rsidRDefault="00F26D69" w:rsidP="005538B8">
      <w:pPr>
        <w:rPr>
          <w:rFonts w:ascii="Times New Roman" w:hAnsi="Times New Roman" w:cs="Times New Roman"/>
          <w:sz w:val="24"/>
          <w:szCs w:val="24"/>
          <w:lang w:val="en"/>
        </w:rPr>
      </w:pPr>
      <w:r w:rsidRPr="006E71C8">
        <w:rPr>
          <w:rFonts w:ascii="Times New Roman" w:hAnsi="Times New Roman" w:cs="Times New Roman"/>
          <w:sz w:val="24"/>
          <w:szCs w:val="24"/>
          <w:lang w:val="en"/>
        </w:rPr>
        <w:t>Submitted by: Nettie Evans, RN, MSN, NEA-BC; Connie Mullinix, PhD, MPH, MBA, RN; AnnMarie Walton, MPH, RN, OCN, CHES</w:t>
      </w:r>
    </w:p>
    <w:sectPr w:rsidR="008F6084" w:rsidRPr="006E71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404DC" w14:textId="77777777" w:rsidR="00DE2C98" w:rsidRDefault="00DE2C98" w:rsidP="00B20F7A">
      <w:pPr>
        <w:spacing w:after="0" w:line="240" w:lineRule="auto"/>
      </w:pPr>
      <w:r>
        <w:separator/>
      </w:r>
    </w:p>
  </w:endnote>
  <w:endnote w:type="continuationSeparator" w:id="0">
    <w:p w14:paraId="016ECBBD" w14:textId="77777777" w:rsidR="00DE2C98" w:rsidRDefault="00DE2C98" w:rsidP="00B2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26641"/>
      <w:docPartObj>
        <w:docPartGallery w:val="Page Numbers (Bottom of Page)"/>
        <w:docPartUnique/>
      </w:docPartObj>
    </w:sdtPr>
    <w:sdtEndPr>
      <w:rPr>
        <w:noProof/>
      </w:rPr>
    </w:sdtEndPr>
    <w:sdtContent>
      <w:p w14:paraId="786A44FD" w14:textId="03C43085" w:rsidR="007C22A8" w:rsidRDefault="007C22A8" w:rsidP="00B20F7A">
        <w:pPr>
          <w:pStyle w:val="Footer"/>
        </w:pPr>
        <w:r>
          <w:fldChar w:fldCharType="begin"/>
        </w:r>
        <w:r>
          <w:instrText xml:space="preserve"> PAGE   \* MERGEFORMAT </w:instrText>
        </w:r>
        <w:r>
          <w:fldChar w:fldCharType="separate"/>
        </w:r>
        <w:r w:rsidR="004D342F">
          <w:rPr>
            <w:noProof/>
          </w:rPr>
          <w:t>4</w:t>
        </w:r>
        <w:r>
          <w:rPr>
            <w:noProof/>
          </w:rPr>
          <w:fldChar w:fldCharType="end"/>
        </w:r>
        <w:r w:rsidRPr="00B20F7A">
          <w:t xml:space="preserve"> </w:t>
        </w:r>
      </w:p>
    </w:sdtContent>
  </w:sdt>
  <w:p w14:paraId="0776BB39" w14:textId="77777777" w:rsidR="007C22A8" w:rsidRDefault="007C22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6E52C" w14:textId="77777777" w:rsidR="00DE2C98" w:rsidRDefault="00DE2C98" w:rsidP="00B20F7A">
      <w:pPr>
        <w:spacing w:after="0" w:line="240" w:lineRule="auto"/>
      </w:pPr>
      <w:r>
        <w:separator/>
      </w:r>
    </w:p>
  </w:footnote>
  <w:footnote w:type="continuationSeparator" w:id="0">
    <w:p w14:paraId="22E305D1" w14:textId="77777777" w:rsidR="00DE2C98" w:rsidRDefault="00DE2C98" w:rsidP="00B20F7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14391"/>
    <w:multiLevelType w:val="hybridMultilevel"/>
    <w:tmpl w:val="CFEA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22294D"/>
    <w:multiLevelType w:val="hybridMultilevel"/>
    <w:tmpl w:val="5EB8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30EC7"/>
    <w:multiLevelType w:val="hybridMultilevel"/>
    <w:tmpl w:val="46F0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D72A8"/>
    <w:multiLevelType w:val="multilevel"/>
    <w:tmpl w:val="D74A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B8"/>
    <w:rsid w:val="00026E43"/>
    <w:rsid w:val="00075988"/>
    <w:rsid w:val="00087896"/>
    <w:rsid w:val="000C3554"/>
    <w:rsid w:val="000C6AF3"/>
    <w:rsid w:val="00137776"/>
    <w:rsid w:val="001775E2"/>
    <w:rsid w:val="00293438"/>
    <w:rsid w:val="002B35F0"/>
    <w:rsid w:val="003079D8"/>
    <w:rsid w:val="00355724"/>
    <w:rsid w:val="00374CD8"/>
    <w:rsid w:val="003862A2"/>
    <w:rsid w:val="00391F80"/>
    <w:rsid w:val="003A56CE"/>
    <w:rsid w:val="003D4734"/>
    <w:rsid w:val="003E53B0"/>
    <w:rsid w:val="003E765D"/>
    <w:rsid w:val="003E7939"/>
    <w:rsid w:val="0041739D"/>
    <w:rsid w:val="00426F1A"/>
    <w:rsid w:val="0047333F"/>
    <w:rsid w:val="0047440D"/>
    <w:rsid w:val="004B6B10"/>
    <w:rsid w:val="004D342F"/>
    <w:rsid w:val="004F5016"/>
    <w:rsid w:val="00502DB9"/>
    <w:rsid w:val="005538B8"/>
    <w:rsid w:val="00575204"/>
    <w:rsid w:val="0062205D"/>
    <w:rsid w:val="00651863"/>
    <w:rsid w:val="00695AA8"/>
    <w:rsid w:val="006B49E8"/>
    <w:rsid w:val="006B5922"/>
    <w:rsid w:val="006B5E63"/>
    <w:rsid w:val="006C0A53"/>
    <w:rsid w:val="006C0E22"/>
    <w:rsid w:val="006E71C8"/>
    <w:rsid w:val="00727583"/>
    <w:rsid w:val="007C22A8"/>
    <w:rsid w:val="007D6D81"/>
    <w:rsid w:val="007E0D13"/>
    <w:rsid w:val="00811F43"/>
    <w:rsid w:val="00817AF7"/>
    <w:rsid w:val="008B1DF4"/>
    <w:rsid w:val="008D1830"/>
    <w:rsid w:val="008F5CE2"/>
    <w:rsid w:val="008F6084"/>
    <w:rsid w:val="008F778E"/>
    <w:rsid w:val="00913B56"/>
    <w:rsid w:val="00920A41"/>
    <w:rsid w:val="00992F15"/>
    <w:rsid w:val="0099431E"/>
    <w:rsid w:val="00A74E15"/>
    <w:rsid w:val="00B20F7A"/>
    <w:rsid w:val="00B574C7"/>
    <w:rsid w:val="00BD531D"/>
    <w:rsid w:val="00C24537"/>
    <w:rsid w:val="00C4115D"/>
    <w:rsid w:val="00C463D0"/>
    <w:rsid w:val="00C6550C"/>
    <w:rsid w:val="00C7092D"/>
    <w:rsid w:val="00CA3591"/>
    <w:rsid w:val="00CE5FBC"/>
    <w:rsid w:val="00CF420C"/>
    <w:rsid w:val="00D23E55"/>
    <w:rsid w:val="00D97DFF"/>
    <w:rsid w:val="00DD2562"/>
    <w:rsid w:val="00DD4C7D"/>
    <w:rsid w:val="00DE2C98"/>
    <w:rsid w:val="00EB17D3"/>
    <w:rsid w:val="00EC2E0D"/>
    <w:rsid w:val="00F0186C"/>
    <w:rsid w:val="00F15699"/>
    <w:rsid w:val="00F26D69"/>
    <w:rsid w:val="00F428C4"/>
    <w:rsid w:val="00F84A62"/>
    <w:rsid w:val="00F8728F"/>
    <w:rsid w:val="00F9702A"/>
    <w:rsid w:val="00FC050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53A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7AF7"/>
    <w:rPr>
      <w:sz w:val="16"/>
      <w:szCs w:val="16"/>
    </w:rPr>
  </w:style>
  <w:style w:type="paragraph" w:styleId="CommentText">
    <w:name w:val="annotation text"/>
    <w:basedOn w:val="Normal"/>
    <w:link w:val="CommentTextChar"/>
    <w:uiPriority w:val="99"/>
    <w:semiHidden/>
    <w:unhideWhenUsed/>
    <w:rsid w:val="00817AF7"/>
    <w:pPr>
      <w:spacing w:line="240" w:lineRule="auto"/>
    </w:pPr>
    <w:rPr>
      <w:sz w:val="20"/>
      <w:szCs w:val="20"/>
    </w:rPr>
  </w:style>
  <w:style w:type="character" w:customStyle="1" w:styleId="CommentTextChar">
    <w:name w:val="Comment Text Char"/>
    <w:basedOn w:val="DefaultParagraphFont"/>
    <w:link w:val="CommentText"/>
    <w:uiPriority w:val="99"/>
    <w:semiHidden/>
    <w:rsid w:val="00817AF7"/>
    <w:rPr>
      <w:sz w:val="20"/>
      <w:szCs w:val="20"/>
    </w:rPr>
  </w:style>
  <w:style w:type="paragraph" w:styleId="CommentSubject">
    <w:name w:val="annotation subject"/>
    <w:basedOn w:val="CommentText"/>
    <w:next w:val="CommentText"/>
    <w:link w:val="CommentSubjectChar"/>
    <w:uiPriority w:val="99"/>
    <w:semiHidden/>
    <w:unhideWhenUsed/>
    <w:rsid w:val="00817AF7"/>
    <w:rPr>
      <w:b/>
      <w:bCs/>
    </w:rPr>
  </w:style>
  <w:style w:type="character" w:customStyle="1" w:styleId="CommentSubjectChar">
    <w:name w:val="Comment Subject Char"/>
    <w:basedOn w:val="CommentTextChar"/>
    <w:link w:val="CommentSubject"/>
    <w:uiPriority w:val="99"/>
    <w:semiHidden/>
    <w:rsid w:val="00817AF7"/>
    <w:rPr>
      <w:b/>
      <w:bCs/>
      <w:sz w:val="20"/>
      <w:szCs w:val="20"/>
    </w:rPr>
  </w:style>
  <w:style w:type="paragraph" w:styleId="BalloonText">
    <w:name w:val="Balloon Text"/>
    <w:basedOn w:val="Normal"/>
    <w:link w:val="BalloonTextChar"/>
    <w:uiPriority w:val="99"/>
    <w:semiHidden/>
    <w:unhideWhenUsed/>
    <w:rsid w:val="00817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AF7"/>
    <w:rPr>
      <w:rFonts w:ascii="Segoe UI" w:hAnsi="Segoe UI" w:cs="Segoe UI"/>
      <w:sz w:val="18"/>
      <w:szCs w:val="18"/>
    </w:rPr>
  </w:style>
  <w:style w:type="paragraph" w:styleId="ListParagraph">
    <w:name w:val="List Paragraph"/>
    <w:basedOn w:val="Normal"/>
    <w:uiPriority w:val="34"/>
    <w:qFormat/>
    <w:rsid w:val="00F8728F"/>
    <w:pPr>
      <w:ind w:left="720"/>
      <w:contextualSpacing/>
    </w:pPr>
  </w:style>
  <w:style w:type="paragraph" w:styleId="Revision">
    <w:name w:val="Revision"/>
    <w:hidden/>
    <w:uiPriority w:val="99"/>
    <w:semiHidden/>
    <w:rsid w:val="00F8728F"/>
    <w:pPr>
      <w:spacing w:after="0" w:line="240" w:lineRule="auto"/>
    </w:pPr>
  </w:style>
  <w:style w:type="table" w:customStyle="1" w:styleId="TableGrid1">
    <w:name w:val="Table Grid1"/>
    <w:basedOn w:val="TableNormal"/>
    <w:next w:val="TableGrid"/>
    <w:uiPriority w:val="59"/>
    <w:rsid w:val="00075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75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5016"/>
    <w:rPr>
      <w:color w:val="0563C1" w:themeColor="hyperlink"/>
      <w:u w:val="single"/>
    </w:rPr>
  </w:style>
  <w:style w:type="paragraph" w:styleId="Header">
    <w:name w:val="header"/>
    <w:basedOn w:val="Normal"/>
    <w:link w:val="HeaderChar"/>
    <w:uiPriority w:val="99"/>
    <w:unhideWhenUsed/>
    <w:rsid w:val="00B2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7A"/>
  </w:style>
  <w:style w:type="paragraph" w:styleId="Footer">
    <w:name w:val="footer"/>
    <w:basedOn w:val="Normal"/>
    <w:link w:val="FooterChar"/>
    <w:uiPriority w:val="99"/>
    <w:unhideWhenUsed/>
    <w:rsid w:val="00B2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74974">
      <w:bodyDiv w:val="1"/>
      <w:marLeft w:val="0"/>
      <w:marRight w:val="0"/>
      <w:marTop w:val="0"/>
      <w:marBottom w:val="0"/>
      <w:divBdr>
        <w:top w:val="none" w:sz="0" w:space="0" w:color="auto"/>
        <w:left w:val="none" w:sz="0" w:space="0" w:color="auto"/>
        <w:bottom w:val="none" w:sz="0" w:space="0" w:color="auto"/>
        <w:right w:val="none" w:sz="0" w:space="0" w:color="auto"/>
      </w:divBdr>
      <w:divsChild>
        <w:div w:id="134682433">
          <w:marLeft w:val="0"/>
          <w:marRight w:val="0"/>
          <w:marTop w:val="0"/>
          <w:marBottom w:val="0"/>
          <w:divBdr>
            <w:top w:val="none" w:sz="0" w:space="0" w:color="auto"/>
            <w:left w:val="none" w:sz="0" w:space="0" w:color="auto"/>
            <w:bottom w:val="none" w:sz="0" w:space="0" w:color="auto"/>
            <w:right w:val="none" w:sz="0" w:space="0" w:color="auto"/>
          </w:divBdr>
          <w:divsChild>
            <w:div w:id="440148324">
              <w:marLeft w:val="0"/>
              <w:marRight w:val="0"/>
              <w:marTop w:val="0"/>
              <w:marBottom w:val="0"/>
              <w:divBdr>
                <w:top w:val="none" w:sz="0" w:space="0" w:color="auto"/>
                <w:left w:val="none" w:sz="0" w:space="0" w:color="auto"/>
                <w:bottom w:val="none" w:sz="0" w:space="0" w:color="auto"/>
                <w:right w:val="none" w:sz="0" w:space="0" w:color="auto"/>
              </w:divBdr>
              <w:divsChild>
                <w:div w:id="11802417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10482</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Kristen Elmore</cp:lastModifiedBy>
  <cp:revision>2</cp:revision>
  <cp:lastPrinted>2015-07-15T18:25:00Z</cp:lastPrinted>
  <dcterms:created xsi:type="dcterms:W3CDTF">2017-07-18T20:09:00Z</dcterms:created>
  <dcterms:modified xsi:type="dcterms:W3CDTF">2017-07-18T20:09:00Z</dcterms:modified>
</cp:coreProperties>
</file>